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RR.2021.219 vom 3. November 2021</w:t>
      </w:r>
    </w:p>
    <w:p>
      <w:r>
        <w:t>Bundesstrafgericht, 2021-11-03, FR</w:t>
      </w:r>
    </w:p>
    <w:p>
      <w:r>
        <w:rPr>
          <w:b/>
        </w:rPr>
        <w:t xml:space="preserve">Quelle: </w:t>
      </w:r>
      <w:r>
        <w:t>https://mcp.opencaselaw.ch/entscheid/bstger_RR.2021.219</w:t>
      </w:r>
    </w:p>
    <w:p>
      <w:r>
        <w:t>FR: TPF RR.2021.219 du 3 novembre 2021</w:t>
      </w:r>
    </w:p>
    <w:p>
      <w:r>
        <w:t>IT: TPF RR.2021.219 del 3 novembre 2021</w:t>
      </w:r>
    </w:p>
    <w:p>
      <w:pPr>
        <w:pStyle w:val="Heading2"/>
      </w:pPr>
      <w:r>
        <w:t>Regeste</w:t>
      </w:r>
    </w:p>
    <w:p>
      <w:r>
        <w:t>Entraide judiciaire internationale en matière pénale aux Pays-Bas Saisie de valeurs (art. 80e al. 2 let. a EIMP); déni de justice (art. 46a PA); assistance judiciaire gratuite (art. 65 PA)</w:t>
      </w:r>
    </w:p>
    <w:p>
      <w:pPr>
        <w:pStyle w:val="Heading2"/>
      </w:pPr>
      <w:r>
        <w:t>Erwägungen</w:t>
      </w:r>
    </w:p>
    <w:p>
      <w:r>
        <w:rPr>
          <w:b/>
        </w:rPr>
        <w:t>E. 20</w:t>
      </w:r>
    </w:p>
    <w:p>
      <w:r>
        <w:t>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s’appliquent également les art. 43ss de la Convention des Nations Unies contre la corruption (UNCAC; RS 311.56) en lien avec les art. 14 et 23 UNCAC relatifs au blanchiment d’argent en général;</w:t>
      </w:r>
    </w:p>
    <w:p>
      <w:r>
        <w:t>- 5 -</w:t>
      </w:r>
    </w:p>
    <w:p>
      <w:r>
        <w:t>pour le surplus, la loi fédérale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s’appliquant en outre lorsqu'il est plus favorable à l'entraide (ATF 142 IV 250 consid. 3; 140 IV 123 consid. 2; 137 IV 33 consid. 2.2.2), l'application de la norme la plus favorable (principe dit « de faveur ») devant avoir lieu dans le respect des droits fondamentaux (ATF 135 IV 212 consid. 2.3); la Cour des plaintes du Tribunal pénal fédéral est compétente pour connaître des recours dirigés contre les décisions incidentes antérieures à la décision de clôture de la procédure d’entraide rendues par l’autorité cantonale d’exécution (art. 37 al. 2 let. a de la loi fédérale sur l’organisation des autorités pénales de la Confédération [LOAP; RS 173.71] cum art. 25 al. 1 et 80e al. 2 EIMP); le recours devant la Cour de céans est également ouvert pour déni de justice et retard injustifié (art. 46a de la loi fédérale sur la procédure administrative [PA; RS 172.021]; ZIMMERMANN, La coopération judiciaire internationale, 5ème éd. 2019, n° 497 p. 533 et les références citées; arrêt du Tribunal pénal fédéral RR.2019.6 du 23 avril 2019 consid. 1.2);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vu la connexité évidente entre les deux recours qui se fondent sur le même état de fait et soulèvent des griefs identiques, la similarité des décisions entreprises et compte tenu également du fait que les recourants sont représentés par les mêmes avocats, il y a lieu de joindre les causes RR.2021.219-221 et RR.2021.230-232; le délai de recours contre une décision incidente est de dix jours dès la communication écrite de celle-ci (art. 80k EIMP); déposés dans les délais, les recours l'ont été en temps utile; par ailleurs, le recours pour déni de justice ou retard injustifié peut être formé</w:t>
      </w:r>
    </w:p>
    <w:p>
      <w:r>
        <w:t>- 6 -</w:t>
      </w:r>
    </w:p>
    <w:p>
      <w:r>
        <w:t>en tout temps (art. 50 al. 2 PA); à teneur de l'art. 80h let. b EIMP, a qualité pour recourir quiconque est personnellement et directement touché par une mesure d'entraide et a un intérêt digne de protection à ce qu'elle soit annulée ou modifiée; cette disposition est à interpréter en ce sens que la personne – physique ou morale – qui doit se soumettre personnellement à une perquisition ou à un séquestre d’objets ou de valeurs a en principe la qualité pour agir, au regard de l’art. 80h let. b EIMP (arrêt du Tribunal pénal fédéral RR.2010.32 du 17 mars 2010 consid. 3.2.1 et références citées); a en outre qualité pour agir celui qui reproche à l'autorité d'exécution d'avoir tardé à statuer (ZIMMERMANN, op. cit., n° 535; arrêt du Tribunal pénal fédéral RR.2012.41 du 2 août 2012 consid. 2.2); les recourants, titulaires des avoirs bloqués et auxquels le MP-VD a dénié une levée de séquestre plus ample que celle autorisée sont habilités à s’en plaindre; les recourants invoquent en premier lieu un déni de justice dans la mesure où le MP-VD n’a pas selon eux répondu à leurs différentes requêtes de levée des séquestres dans un délai raisonnable; le retard injustifié à statuer est une forme particulière du déni de justice prohibé par l'art. 29 al. 1 Cst. et l'art. 6 par. 1 de la Convention de sauvegarde des droits de l'homme et des libertés fondamentales du 4 novembre 1950 (CEDH; RS 101;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citées); entre autres critères sont notamment déterminants le degré de complexité de l'affaire, l'enjeu que revêt le litige pour l'intéressé ainsi que le comportement de ce dernier et celui des autorités compétentes (ATF 130 I 312 consid. 5.2 p. 332;125 V 188 consid. 2a p. 191); il est en outre de jurisprudence constante que celui qui s'apprête à déposer un recours pour déni de justice ou retard injustifié contre une autorité doit en avertir cette dernière pour que celle-ci ait l'occasion de statuer rapidement (ATF 126 V 244 consid. 2d; 125 V 373 consid. 2b/aa); en l’espèce, les recourants ont effectivement adressé diverses demandes de levée de séquestre au MP-VD, lui fixant notamment des délais pour se prononcer sur leurs différentes requêtes et le menaçant de déposer un recours pour déni de justice faute d’obtenir des réponses rapidement</w:t>
      </w:r>
    </w:p>
    <w:p>
      <w:r>
        <w:t>- 7 -</w:t>
      </w:r>
    </w:p>
    <w:p>
      <w:r>
        <w:t>(RR.2021.219-221 act. 1.30); il reste que si le MP-VD n’a pas répondu directement aux requêtes des recourants, il n’est in casu pas pour autant resté inactif: en effet, il a relancé à plusieurs reprises l’autorité requérante – ce dont les recourants ont été informés – afin d’obtenir sa prise de position sur diverses questions importantes dans l’exécution de la commission rogatoire, l’avisant qu’à défaut de réponse, il interviendrait directement auprès de l’OFJ (voir en particulier RR.2021.219-221 act. 1.16, act. 1.20); le MP-VD a de ce fait obtenu une réponse le 27 septembre 2021 de la part de l’autorité requérante (RR.2021.219-221 act. 1.22) et a sur cette base rendu les ordonnances querellées des 1er et 14 octobre 2021 (RR.2021.219- 221 act. 1; RR.2021.230-232 act. 1); par ailleurs, si les recourants n’ont pas reçu de réponse pour chacun des courriers qu’ils ont envoyés à l’autorité d’exécution, les décisions contestées de même que l’apposition de la mention « relation bancaire bloquée, paiement refusé » sur des requêtes de paiement lui étant adressées par la banque D. pour C. Trust constituent en soi des réponses suffisantes qui permettent aux recourants de comprendre que les autres demandes de levées de séquestre en suspens sont implicitement refusées; certes, les recourants considèrent que l’autorité d’exécution ne devait pas nécessairement obtenir l’accord de l’autorité requérante avant de décider du sort partiel des biens séquestrés; toutefois, dans la mesure où la demande d'entraide n'a pas été retirée par l'autorité compétente, il y a lieu d'en achever l'exécution (arrêt du Tribunal fédéral 1C_284/2011 du 18 juillet 2011 consid. 1 et les références citées) et, conformément à l'art. 20 de la CBI, il est loisible à la Partie requise de consulter la Partie requérante pour procéder à l'exécution de sa coopération, notamment quant à la portée de cette dernière; partant, aucun grief de retard injustifié à statuer ne peut être retenu à l'égard du MP-VD; le grief est donc écarté; à teneur de l’art. 80e al. 2 EIMP, les décisions incidentes antérieures à la décision de clôture ne sont attaquables séparément qu'en cas de préjudice immédiat et irréparable découlant de la saisie d'objets ou de valeurs (let. a); la notion de préjudice immédiat et irréparable au sens de l’art. 80e al. 2 EIMP doit être interprétée de manière restrictive (arrêts du Tribunal pénal fédéral RR.2018.90-92 du 29 mars 2018; RR.2007.131 du 27 novembre 2007 consid. 2.1 et la jurisprudence citée);</w:t>
      </w:r>
    </w:p>
    <w:p>
      <w:r>
        <w:t>- 8 -</w:t>
      </w:r>
    </w:p>
    <w:p>
      <w:r>
        <w:t>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 la Cour a déjà eu l’occasion de préciser qu’il incombe en particulier au plaideur d'indiquer, dans l'acte de recours, en quoi consiste le préjudice prétendument subi et pourquoi ce préjudice ne serait pas totalement prévenu par un arrêt annulant, le cas échéant, la décision de clôture qui interviendra ultérieurement; un tel préjudice doit être immédiat c’est-à-dire imparable (ZIMMERMANN, op. cit., no 512 p. 544)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cependant, la seule nécessité de faire face à des dépenses administratives courantes ne suffit pas, en règle générale, à rendre vraisemblable un préjudice immédiat et irréparable (ATF 128 II 353 consid. 3); de même, le recourant doit rendre vraisemblable qu'il ne dispose pas d'autres ressources financières en suffisance pour faire face à ses obligations (cf. arrêt du Tribunal fédéral 1A.130/2006 du 28 juillet 2006, consid. 1.3; arrêts du Tribunal pénal fédéral RR.2015.319 du 7 janvier 2016; RR.2009.155 du 7 mai 2009, consid. 2.5.1); en l’espèce, les recourants invoquent certes des paiements à effectuer tels des factures d’avocat, des factures de carte de crédit, des avances de frais à acquitter ou le besoin d’argent pour des raisons médicales; ils se plaignent également de l’impossibilité de vivre avec un montant unique d’euros 75'000.--; ce faisant, ils ne spécifient pourtant pas en quoi consiste concrètement le préjudice immédiat et irréparable auquel ils se trouvent confrontés; par exemple, B. évoque des frais médicaux à hauteur de CHF 25'000.-- en raison d’une hospitalisation, toutefois, les pièces au dossier qui allèguent cette dernière précisent qu’elle est prévue pour septembre sans qu’aucun élément ne vienne étayer que cette dernière a bien eu lieu ou qu’elle serait encore en cours; par ailleurs, C. Trust se plaint du blocage de ses comptes, mais aucune précision n’est fournie à son propos: on ignore tout des montants ou du nombre de comptes sous main de justice le concernant ou en quoi ces</w:t>
      </w:r>
    </w:p>
    <w:p>
      <w:r>
        <w:t>- 9 -</w:t>
      </w:r>
    </w:p>
    <w:p>
      <w:r>
        <w:t>blocages lui causent un quelconque préjudice immédiat et irréparable; les recourants font également valoir qu’un montant d’euros 75'000.-- n’équivaut même pas à un salaire moyen annuel suisse surtout pour deux adultes habitués à un train de vie aisé, soulignent que ce montant devrait leur permettre de payer leurs impôts, leurs assurances maladie et sociales, leurs dépenses courantes, leurs frais médicaux et leurs frais juridiques tant en Suisse qu’à l’étranger, mais ne précisent en rien quelles sont les dépenses auxquelles ils seraient confrontés et qu’ils ne pourraient aujourd’hui concrètement pas acquitter; or, sur la base de la jurisprudence précitée, ces éléments sont insuffisants pour admettre l'existence d'un préjudice immédiat et irréparable au sens de l'art. 80e al. 2 EIMP; en outre, les recourants ne peuvent être suivis lorsqu’ils soutiennent que B. n’est pas suspect dans la procédure d’entraide, son nom n’étant pas mentionné dans la demande d’entraide de sorte que ses avoirs devraient être libérés; c’est en effet le lieu de rappeler que le Tribunal fédéral a retenu que celui dont le compte bancaire pourrait avoir servi, même à son insu, à commettre une infraction, voire à transférer ou à dissimuler le produit d'une infraction ne peut en principe pas être considéré comme un tiers non impliqué (cf. ATF 139 II 451 consid. 2.2.3; 126 II 126 consid. 6a/bb p. 137 avec renvois; arrêt du Tribunal fédéral 2A.155/2000 du 21 août 2000 consid. 5c); tel est notamment le cas des familiers des personnes poursuivies à l’étranger détenteurs de comptes bancaires (ZIMMERMANN, op. cit., no 404 relatif à l’art. 10 aEIMP mais dont la jurisprudence doit être reprise [arrêt du Tribunal fédéral 1A.234/2002 du 14 janvier 2003 consid. 3.5]; contrairement à ce que soutiennent les recourants, en tant que conjoint de A., principal mis en cause dans la demande d’entraide, B., ne peut valablement se prévaloir de la qualité de tiers non impliqué; compte tenu des éléments qui précèdent, à défaut d'un dommage immédiat et irréparable, les recours interjetés contre les décisions incidentes du MP-VD doivent être déclarés irrecevables; il en résulte que les demandes d’être dispensés du paiement de l’avance de frais ainsi que les demandes d’assistance judiciaire (RP.2021.67-69 et RP.2021.77-79) sont devenues sans objet; vu l'issue du litige, la Cour de céans a renoncé à procéder à un échange</w:t>
      </w:r>
    </w:p>
    <w:p>
      <w:r>
        <w:t>- 10 -</w:t>
      </w:r>
    </w:p>
    <w:p>
      <w:r>
        <w:t>d'écritures (art. 57 al. 1 a contrario PA applicable par renvoi de l'art. 39 al. 2 let. b LOAP, ainsi que de l'art. 12 al. 1 EIMP]); en règle générale, les frais de procédure comprenant l'émolument d'arrêt, les émoluments de chancellerie et les débours sont mis à la charge de la partie qui succombe (art. 63 PA, applicable par renvoi de l'art. 39 LOAP); en tant que parties qui succombent, les recourants doivent supporter solidairement les frais du présent arrêt (art. 63 al. 1 PA applicable par renvoi à l’art. 39 al. 2 let. b LOAP), lesquels sont fixés à CHF 2’000.-- (v. art. 8 al. 3 let. b du règlement du Tribunal pénal fédéral sur les frais, émoluments, dépens, et indemnités de la procédure pénale fédérale [RFPPF; RS 173.713.162] et art. 63 al. 4bis let. b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