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RR.2021.214 vom 17. Januar 2023</w:t>
      </w:r>
    </w:p>
    <w:p>
      <w:r>
        <w:t>Bundesstrafgericht, 2023-01-17, FR</w:t>
      </w:r>
    </w:p>
    <w:p>
      <w:r>
        <w:rPr>
          <w:b/>
        </w:rPr>
        <w:t xml:space="preserve">Quelle: </w:t>
      </w:r>
      <w:r>
        <w:t>https://mcp.opencaselaw.ch/entscheid/bstger_RR.2021.214</w:t>
      </w:r>
    </w:p>
    <w:p>
      <w:r>
        <w:t>FR: TPF RR.2021.214 du 17 janvier 2023</w:t>
      </w:r>
    </w:p>
    <w:p>
      <w:r>
        <w:t>IT: TPF RR.2021.214 del 17 gennaio 2023</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et par le Deuxième Protocole additionnel à ladite Convention, entré en vigueur pour la Suisse le 1er février 2005 et pour l’Etat requérant le 1er juin 2012 (RS 0.351.12), ainsi que par l'Accord bilatéral complétant cette Convention (ci-après: Accord bilatéral; RS 0.351.934.92), conclu le 28 octobre 1996 et entré en vigueur le 1er mai 2000. Les art. 48 ss de la Convention d'application de l'Accord de Schengen du 14 juin 1985 (CAAS; n° CELEX 42000A0922[02]; Journal officiel de l'Union européenne L 239 du 22 septembre 2000, p. 19-62 [texte non publié au RS mais consultable sous « Recueil de textes juridiques sur les accords sectoriels avec l’UE », onglet « 8.1. Annexe A », in https://www.fedlex.admin.ch/fr/sector-specific- agreements/EU-acts-register/8]) s'appliquent également à l'entraide pénale entre la Suisse et la France (v. arrêt du Tribunal pénal fédéral RR.2008.98 du 18 décembre 2008 consid. 1.3). Peut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ainsi que les dispositions pertinentes de l’Accord de coopération entre la Confédération suisse, d’une part, et la Communauté européenne et ses Etats membres, d’autre part, pour lutter contre la fraude et toute autre activité illégale portant atteinte à leurs intérêts financiers du 26 octobre 2004 (Accord anti-fraude; RS 0.351.926.81; v. Message du Conseil fédéral du 1er octobre 2004 relatif à l’approbation des accords bilatéraux entre la Suisse et l’Union européenne, y compris les actes législatifs relatifs à la transposition des accords [« accords bilatéraux II »] in FF 2004 5593, 5807-5827), appliqué provisoirement par la Suisse et la France dès le 8 avril 2009.</w:t>
      </w:r>
    </w:p>
    <w:p>
      <w:r>
        <w:rPr>
          <w:b/>
        </w:rPr>
        <w:t>E. 1.1</w:t>
      </w:r>
    </w:p>
    <w:p>
      <w:r>
        <w:t>Les dispositions des traités précités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dispositions conventionnelles (art. 1 al. 1 EIMP) ou lorsqu’il permet l’octroi</w:t>
      </w:r>
    </w:p>
    <w:p>
      <w:r>
        <w:t>- 5 -</w:t>
      </w:r>
    </w:p>
    <w:p>
      <w:r>
        <w:t>de l’entraide à des conditions plus favorables (ATF 145 IV 294 consid. 2.1; 142 IV 250 consid. 3; 140 IV 123 consid. 2; 137 IV 33 consid. 2.2.2; 136 IV 82 consid. 3.1), ce qui est valable aussi dans le rapport entre les normes internationales (v. art. 48 ch. 2 CAAS, art. 39 ch. 2 CBl et art. 25 al. 2 de l’Accord anti-fraude). L’application de la norme la plus favorable doit avoir lieu dans le respect des droits fondamentaux (ATF 145 IV 294 consid. 2.1; 135 IV 212 consid. 2.3; 123 II 595 consid. 7c; v. arrêt du Tribunal fédéral 1C_196/2021 du 28 mai 2021 consid. 3). Les dispositions de la loi fédérale sur la procédure administrative du 20 décembre 1968 (PA; RS 172.021) sont, en outre, applicables à la présente procédure de recours (art. 12 al. 1 EIMP, art. 39 al. 2 let. b en lien avec l’art. 37 al. 2 let. a ch. 1 de la loi fédérale sur l’organisation des autorités pénales de la Confédération du 19 mars 2010 [LOAP; RS 173.71]).</w:t>
      </w:r>
    </w:p>
    <w:p>
      <w:r>
        <w:rPr>
          <w:b/>
        </w:rPr>
        <w:t>E. 1.2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a LOAP). Elle n’est pas liée par les conclusions des parties (art. 25 al. 6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1.3</w:t>
      </w:r>
    </w:p>
    <w:p>
      <w:r>
        <w:t>Interjeté dans le délai légal de 30 jours (art. 80k EIMP) par une personne juridique disposant de la qualité pour recourir (art. 80h let. b EIMP), le recours est recevable. Il y a dès lors lieu d’entrer en matière.</w:t>
      </w:r>
    </w:p>
    <w:p>
      <w:r>
        <w:rPr>
          <w:b/>
        </w:rPr>
        <w:t>E. 2</w:t>
      </w:r>
    </w:p>
    <w:p>
      <w:r>
        <w:t>La recourante fait valoir, en substance, une violation de l’art 3 al. 3 EIMP. Les actes décrits dans la demande d’entraide ne rempliraient pas la condition de la double punissabilité et seraient, tout au plus, des délits fiscaux ordinaires ce qui rendrait la requête française irrecevable (act. 1, p. 11 ss.; act. 12).</w:t>
      </w:r>
    </w:p>
    <w:p>
      <w:r>
        <w:rPr>
          <w:b/>
        </w:rPr>
        <w:t>E. 2.1</w:t>
      </w:r>
    </w:p>
    <w:p>
      <w:r>
        <w:t>La condition de la double incrimination est satisfaite lorsque l’état de fait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146 IV 338 consid. 4.3; 124 II 184 consid. 4b/cc; 122 II 422 consid. 2a). Il n'est pas nécessaire que</w:t>
      </w:r>
    </w:p>
    <w:p>
      <w:r>
        <w:t>- 6 -</w:t>
      </w:r>
    </w:p>
    <w:p>
      <w:r>
        <w:t>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w:t>
      </w:r>
    </w:p>
    <w:p>
      <w:r>
        <w:rPr>
          <w:b/>
        </w:rPr>
        <w:t>E. 2.2</w:t>
      </w:r>
    </w:p>
    <w:p>
      <w:r>
        <w:t>Lorsque l’autorité étrangère adresse une requête d’entraide dans le cadre d’une enquête menée du chef de blanchiment d’argent, elle ne doit pas nécessairement apporter la preuve de la commission des actes de blanchiment ou de l’infraction préalable; un simple soupçon considéré objectivement suffit pour l’octroi de la coopération sous l’angle de la double incrimination (arrêt du Tribunal pénal fédéral RR.2017.99 + RR.2017.65/ RP.2017.22 du 1er décembre 2017 consid. 4.2 et références citées).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références citées). L’importance des sommes mises en cause lors des transactions suspectes constitue également un motif de soupçon de blanchiment. Cette interprétation correspond à la notion d’entraide « la plus large possible » dont il est question aux art. 1 CEEJ, 7 ch. 1 et 8 CBI (AFT 129 II 97 consid. 3.2).</w:t>
      </w:r>
    </w:p>
    <w:p>
      <w:r>
        <w:rPr>
          <w:b/>
        </w:rPr>
        <w:t>E. 2.3</w:t>
      </w:r>
    </w:p>
    <w:p>
      <w:r>
        <w:t>En matière de « petite entraide », il n’est pas nécessaire que la condition de la double incrimination soit réalisée pour chacun des chefs à raison desquels le prévenu est poursuivi dans l'Etat requérant (ATF 125 II 569 consid. 6; 110 Ib 173 consid. 5b; arrêts du Tribunal fédéral 1C_138/2007 du 17 juillet 2007 consid. 2.3.2; 1A.212/2001 du 21 mars 2002 consid. 7).</w:t>
      </w:r>
    </w:p>
    <w:p>
      <w:r>
        <w:rPr>
          <w:b/>
        </w:rPr>
        <w:t>E. 2.4</w:t>
      </w:r>
    </w:p>
    <w:p>
      <w:r>
        <w:t>Sous l’angle de la double punissabilité, l’entraide peut également être accordée pour blanchiment de délit fiscal qualifié. L’art. 305bis ch. 1bis du Code pénal suisse du 21 décembre 1937 (CP; RS 311.0) poursuit comme un délit fiscal qualifié, les infractions mentionnées aux art. 186 de la loi fédérale sur l'impôt fédéral direct (LIFD; RS 642.11) et 59 de la loi fédérale sur l'harmonisation des impôts directs des cantons et des communes (LHID; RS 642.14) lorsque les impôts soustraits par période fiscale se montent à plus de CHF 300'000.--.</w:t>
      </w:r>
    </w:p>
    <w:p>
      <w:r>
        <w:rPr>
          <w:b/>
        </w:rPr>
        <w:t>E. 2.5</w:t>
      </w:r>
    </w:p>
    <w:p>
      <w:r>
        <w:t>Selon l’art. 3 al. 3 let. a EIMP, l’entraide judiciaire doit être accordée, au sens</w:t>
      </w:r>
    </w:p>
    <w:p>
      <w:r>
        <w:t>- 7 -</w:t>
      </w:r>
    </w:p>
    <w:p>
      <w:r>
        <w:t>des art. 63 ss EIMP, si la procédure vise une escroquerie en matière fiscale. Cette disposition couvre tant la fiscalité directe qu’indirecte. L’escroquerie en matière fiscale, au sens de l’EIMP, est définie à l’art. 24 al. 1 OEIMP, qui renvoie à l’art. 14 al. 2 de la loi fédérale sur le droit pénal administratif du 22 mars 1974 (DPA; RS 313.0). Il y a escroquerie en matière fiscale lorsque le contribuable a trompé astucieusement l’autorité fiscale pour lui soustraire un montant important (soit égal ou supérieur à CHF 15’000.--; ATF 139 II 404 consid. 9.4) représentant une contribution, en lui donnant des indications fausses, falsifiées ou inexactes sur le fond. Une tromperie astucieuse des autorités fiscales ne présuppose cependant pas forcément que des documents aient été falsifiés; d’autres moyens de tromperie sont imaginables. Mais en règle générale, l’auteur y emploie des manœuvres particulières, des artifices ou des constructions mensongères (FF 2014 585, p. 605 et ATF 125 II 250 consid. 3a et 3b). L’escroquerie fiscale au sens de l’EIMP est plus large que la fraude fiscale des art. 186 LIFD ou 59 LHID, puisque qu’elle n’exige pas l’usage de titres faux, falsifiés ou inexacts quant à leur contenu (v. ATF 125 II 250 consid. 3a). Il convient de s’en tenir à la définition de l’escroquerie selon l’art. 146 CP et à la jurisprudence qui s’y rapporte (ATF 115 Ib 68 consid. 3 p. 71-76; arrêt du Tribunal pénal fédéral RR.2008.240 du 20 février 2009 consid. 4.2 et la jurisprudence citée). Il y a ainsi escroquerie à l’impôt lorsque le contribuable obtient une taxation injustement favorable, en recourant à des manœuvres frauduleuses tendant à faire naître une vision faussée de la réalité. La remise à l’autorité fiscale de titres inexacts ou incomplets constitue toujours une escroquerie fiscale en raison de la foi particulière qui est attachée à ce type de documents. L’escroquerie fiscale, ouvrant la voie à l’entraide judiciaire, est toujours réalisée lorsque le contribuable a remis aux autorités fiscales des titres inexacts ou incomplets au sens de l’art. 110 al. 4 CP (ATF 125 II 250 consid. 3c). Lorsqu’une demande est présentée pour la poursuite d’une escroquerie fiscale, la Suisse en tant qu’Etat requis déroge à la règle selon laquelle l’autorité d’exécution n’a pas à se déterminer sur la réalité des faits. Sans avoir à apporter des preuves de la culpabilité de la personne poursuivie, l’Etat requérant doit exposer des soupçons suffisants qu’une escroquerie fiscale a été commise. Ces exigences particulières ont pour but d’écarter le risque que soient éludées les normes excluant l’entraide en matière fiscale et de politique monétaire, commerciale ou économique selon l’art. 3 al. 3 EIMP (ATF 125 II 250 consid. 5b et références citées; TPF 2008 128 consid. 5.5). Le Tribunal fédéral a admis l’escroquerie fiscale, au sens de l’art. 14 al. 2 DPA, dans le cas d’un acheteur et d’un vendeur s’étant entendus sur le prix établi dans de fausses factures, lequel était inférieur à celui effectivement payé, afin de réduire le bénéfice du vendeur (ZIMMERMANN, La coopération judiciaire internationale en matière pénale, 5e éd. 2019, n° 649, p. 702-704, et arrêts cités, notamment ATF 114 Ib 56</w:t>
      </w:r>
    </w:p>
    <w:p>
      <w:r>
        <w:t>- 8 -</w:t>
      </w:r>
    </w:p>
    <w:p>
      <w:r>
        <w:t>consid. 3b; 111 Ib 242 consid. 5). Il a également retenu l’application de l’art. 14 al. 2 DPA dans le cas d’utilisation de fausses factures établies de concert entre plusieurs sociétés successives afin de réduire l’impôt douanier dû (ZIMMERMANN, op. cit., n° 649, p. 704-705; arrêt du Tribunal fédéral 1A.35/2002 du 18 juin 2006 consid. 6.2; v. également arrêt du Tribunal pénal fédéral RR.2009.7 du 3 avril 2009 consid. 4.4. et 4.5).</w:t>
      </w:r>
    </w:p>
    <w:p>
      <w:r>
        <w:rPr>
          <w:b/>
        </w:rPr>
        <w:t>E. 2.6</w:t>
      </w:r>
    </w:p>
    <w:p>
      <w:r>
        <w:t>Selon l’exposé des faits relaté dans la demande, une enquête pénale est ouverte, notamment contre B., des chefs de fraude fiscale en bande organisée, blanchiment aggravé, participation à une association de malfaiteurs et abus de biens ou du crédit d’une Sàrl commis par un gérant à des fins personnelles (act. 1.4). En substance, il ressort de la requête que B. a été la gérante de fait de C. Sàrl dont l’activité est le nettoyage et la conciergerie effectuée dans la station de Y. L’enquête a montré que le client principal de C. Sàrl était la société suisse D. SA sise à Genève. Cette dernière était propriétaire d’un chalet de très grand standing nommé « le chalet de H. », situé sur les communes de Y. et X. B. a indiqué aux autorités françaises avoir reçu les instructions pour mettre à disposition de D. SA des comptes bancaires ouverts en France au nom de C. Sàrl, comptes non comptabilisés qui auraient reçu plusieurs millions d’euros entre 2008 et 2014. Les seuls usagers du chalet de H. étaient E. et son épouse F. qui habitaient occasionnellement l’édifice. Selon B., le but des époux était principalement d’échapper au fisc français. À cette fin, E. aurait également eu recours à la société panaméenne I. pour régler certaines factures liées au chalet de H. Il ressort par ailleurs de la requête que E. est un industriel russe dirigeant de la société J., spécialisé dans les transports et les infrastructures et qu’il a des intérêts en Suisse, au sein de la société K. Il ressort également de la requête et de la lettre du 11 juin 2021 de l’autorité requérante, que E., détenu pour une autre cause en Russie, est également visé par la procédure française car suspecté de blanchiment de fraude fiscale en bande organisée, association de malfaiteurs et abus de biens sociaux. Selon l’autorité requérante, E. et son épouse auraient, par l’intermédiaire de la société suisse D. SA, acquis le chalet précité. Depuis 2008, D. SA aurait été détenue entièrement par la société chypriote L. Ltd, dont E. serait le détenteur. D. SA, aurait conclu un bail d’habitation portant sur la période 2013 à 2015 dont le preneur est la société M. Ltd, immatriculée aux Bahamas. Pour couvrir les frais d’occupation du chalet, M. Ltd aurait prêté de l’argent vers L. Ltd. Le même jour, un autre prêt aurait été accordé par L. Ltd à D. SA. Ces contrats de prêts n’auraient fait l’objet d’aucun remboursement par D. SA. À partir de 2014, d’autres sociétés intermédiaires auraient financé l’entretien du chalet, dont N. Corp., sise en un lieu inconnu et la société des Îles Vierges britanniques O., où E. aurait également détenu des intérêts. La Fondation A. aurait été à la tête d’un groupe composé d’une</w:t>
      </w:r>
    </w:p>
    <w:p>
      <w:r>
        <w:t>- 9 -</w:t>
      </w:r>
    </w:p>
    <w:p>
      <w:r>
        <w:t>multitude de sociétés offshore, tombant sous le contrôle de E., sociétés utilisées pour l’acquisition de biens immobiliers par le biais de montages financiers complexes et opaques permettant de soupçonner une provenance illicite des fonds utilisés. Au total, plus de 16 millions d’euros auraient été versés à D. SA. Cette dernière aurait ventilé, entre 2008 et 2014, au moins</w:t>
      </w:r>
    </w:p>
    <w:p>
      <w:r>
        <w:rPr>
          <w:b/>
        </w:rPr>
        <w:t>E. 2.7</w:t>
      </w:r>
    </w:p>
    <w:p>
      <w:r>
        <w:t>En matière de la double incrimination, l'existence de transactions opaques, dénuées de justification apparente, l’émission de fausses factures, l’importance des sommes transférées se chiffrant en dizaines de millions d’euros pour des opérations financières non explicitées voire fictives, l'utilisation de nombreuses sociétés réparties dans plusieurs pays (parmi lesquelles de nombreuses sociétés offshore) ainsi que de comptes bancaires non comptabilisés, constituent des indices suffisants, qui permettent de soupçonner des actes de blanchiment d’argent qui, si commis en Suisse, pourraient – prima facie – justifier l’ouverture d’une action pénale en vertu de l’art. 305bis CP tant il est vrai que tous les indices précités laissent objectivement présupposer que l’on se trouve dans la situation permettant de soupçonner l’existence d’actes de blanchiment (v. supra consid. 2.2). Le fait invoqué par la recourante, soit que L. Ltd était une filiale de la Fondation A. et qu’il y avait, par conséquent, un « lien capitalistique » entre les sociétés utilisées, ne suffit pas à lever le soupçon de blanchiment d'argent. En effet, il est de la nature même de l’infraction de blanchiment que des fonds soient</w:t>
      </w:r>
    </w:p>
    <w:p>
      <w:r>
        <w:t>- 10 -</w:t>
      </w:r>
    </w:p>
    <w:p>
      <w:r>
        <w:t>transférés notamment au moyen de transactions bancaires pouvant à première vue paraître légales, cela dans le but d’interrompre la traçabilité des fonds (arrêt du Tibunal pénal fédéral RR.2021.189 du 25 août 2022 consid. 4.3). Au vu de ce qui précède, la condition de la double punissabilité est ainsi réalisée sous l’angle du blanchiment.</w:t>
      </w:r>
    </w:p>
    <w:p>
      <w:r>
        <w:rPr>
          <w:b/>
        </w:rPr>
        <w:t>E. 2.8</w:t>
      </w:r>
    </w:p>
    <w:p>
      <w:r>
        <w:t>Bien que, selon la jurisprudence précitée (supra consid 2.3), la seule réalisation de la condition de la double punissabilité sous l’angle de l’infraction de blanchiment d’argent selon l’art. 305bis al. 1 CP suffise pour octroyer l’entraide, la condition de la double punissabilité serait également réalisée sous l’angle du blanchiment fiscal qualifié réprimé par l’art. 305bis al. 1bis CP puisque, selon la requête des sommes certainement supérieures au montant de CHF 300'000.-- par période fiscale auraient été soustraites au fisc français. Il ressort en effet de la requête qu’au moins pour la période allant de 2011 à 2017, les biens détenus en France par les personnes mises en cause étaient valorisés entre 1'600'000 et 16'650’000 d’euros et que sur ces estimations le 3% d’impôt n’a pas été versé. Ce qui, en moyenne, représente assurément des économies d’impôts supérieures à CHF 300'000.--.</w:t>
      </w:r>
    </w:p>
    <w:p>
      <w:r>
        <w:t>Eu égard aux principes précités (supra consid 2.3), il est superflu d’analyser la réalisation de la condition de la double punissabilité également sous l’angle de l’escroquerie fiscale. Quoi qu’il en soit, elle apparait également réalisée au vu des montages précités et du recours aux nombreux faux documents utilisés afin de tromper l’administration fiscale.</w:t>
      </w:r>
    </w:p>
    <w:p>
      <w:r>
        <w:t>Quant aux craintes de la recourante d’une utilisation des informations qui seraient remises à la France pour la poursuite d’infractions de soustraction fiscale, elles doivent d’ores et déjà être dissipées étant donné que, lors de la remise de la documentation, l’attention de l’autorité requérante sera attirée sur le principe de la spécialité. Il n’y a en l’espèce pas lieu de douter que les autorités françaises respecteront le principe en question, en vertu d’une présomption de fidélité au traité de collaboration (v. ATF 139 IV 137 consid. 5.2.1; 115 Ib 373 consid. 8; 107 Ib 264 consid. 4b; arrêts du Tribunal fédéral 1C_644/2015 du 23 février 2016 consid. 8.4.3 non publié aux ATF 142 I 175; 1C_257/2010 du 1er juin 2010 consid. 2.4; 1A.33/2003 du 20 mai 2003 consid. 4 non publié aux ATF 129 II 384; arrêt du Tribunal pénal fédéral RR.2019.92 du 16 décembre 2019 consid. 6.2 et les références citées; ZIMMERMANN, op. cit., n° 641, p. 695). Il n’est donc pas nécessaire de demander à l’Etat requérant des garanties préalables expresses (ibidem).</w:t>
      </w:r>
    </w:p>
    <w:p>
      <w:r>
        <w:rPr>
          <w:b/>
        </w:rPr>
        <w:t>E. 2.9</w:t>
      </w:r>
    </w:p>
    <w:p>
      <w:r>
        <w:t>Mal fondé, le grief de la violation du principe de la double punissabilité doit être rejeté.</w:t>
      </w:r>
    </w:p>
    <w:p>
      <w:r>
        <w:t>- 11 -</w:t>
      </w:r>
    </w:p>
    <w:p>
      <w:r>
        <w:t>3. La recourante fait valoir, pour la première fois dans sa réplique du 29 novembre 2021, une violation du droit d’être entendue selon l’art. 29 al. 2 de la Constitution fédérale du 18 avril 1999 (RS 101), dans le sens que la décision d’entrée en matière du MP-GE du 18 août 2020 ne permettait pas de comprendre quels faits pourraient être qualifiés d’abus de confiance et quels faits de blanchiment (act. 12, p. 3).</w:t>
      </w:r>
    </w:p>
    <w:p>
      <w:r>
        <w:t>3.1 Il est de jurisprudence constante que le mémoire de réplique ne peut contenir qu’une argumentation en fait et en droit complémentaire destinée à répondre aux arguments nouveaux développés dans le mémoire de réponse. Il ne saurait dès lors être utilisé aux fins de présenter de nouvelles conclusions ou de nouveaux griefs qui auraient déjà pu figurer dans l’acte de recours (ATF 143 II 283 consid. 1.2.3; 135 I 19 consid. 2.2; 134 IV 156 consid. 1.7). Si tel est le cas, ces nouvelles conclusions ou nouveaux griefs sont irrecevables (arrêts du Tribunal fédéral 1B_102/2019 du 13 juin 2019 consid. 5; 1C_225/2017 du 16 janvier 2018 consid. 2). Pour faire valoir de nouveaux motifs, le recourant doit y avoir été autorisé par l’autorité de recours (art. 53 PA), ce qui n’a pas été le cas en l’espèce. Est réservé l’art. 32 al. 2 PA, qui s’applique aussi en procédure contentieuse (v. SUTTER, in Auer/Müller/Schindler [édit.], Kommentar zum Bundesgesetz über das Verwaltungsverfahren, 2e éd. 2019, n° 10 ad art. 32 PA; WALDMANN/BICKEL, in Waldmann/Weissenberger [édit.], Praxiskommentar Verwaltungsverfahrensgesetz, 2e éd. 2016, n° 17 ad art. 32 PA), et qui prévoit que l’autorité peut prendre en considération les allégués tardifs s’ils paraissent décisifs. Afin de déterminer si tel est le cas, il faut examiner l’ensemble des circonstances (arrêt du Tribunal pénal fédéral RH.2015.19, RP.2015.40 du 10 septembre 2015 consid. 3.2 et les références citées).</w:t>
      </w:r>
    </w:p>
    <w:p>
      <w:r>
        <w:t>3.2 Le droit d'être entendu garanti à l'art. 29 al. 2 Cst.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 Enfin, une violation du droit d'être entendu commise par l'autorité d'exécution est en principe guérissable dans le cadre de la procédure de recours auprès de la Cour de</w:t>
      </w:r>
    </w:p>
    <w:p>
      <w:r>
        <w:t>- 12 -</w:t>
      </w:r>
    </w:p>
    <w:p>
      <w:r>
        <w:t>céans (arrêt du Tribunal fédéral 1C_168/2016 du 22 avril 2016 consid. 1.3.2; TPF 2008 172 consid. 2.3).</w:t>
      </w:r>
    </w:p>
    <w:p>
      <w:r>
        <w:t>3.3 N’en déplaise à la recourante, la décision d’entrée en matière est suffisamment motivée au vu des principes énoncés supra. La recourante a par ailleurs pu recourir en connaissance de cause en présentant un mémoire circonstancié. Il s’ensuit que le grief est manifestement irrecevable. Toujours est-il que l’éventuelle violation du droit d’être entendu aurait de toute façon été guérie dans la procédure devant la Cour de céans, car le MP-GE a, dans sa réponse au recours du 2 novembre 2021, argumenté de façon exhaustive son raisonnement eu égard à la double incrimination.</w:t>
      </w:r>
    </w:p>
    <w:p>
      <w:r>
        <w:rPr>
          <w:b/>
        </w:rPr>
        <w:t>E. 4</w:t>
      </w:r>
    </w:p>
    <w:p>
      <w:r>
        <w:t>La recourante se plaint enfin d’une violation du principe de proportionnalité. Selon elle, la requête d’entraide constituerait une pêche aux renseignements (act. 12, p. 6, 8). Elle considère dès lors que le lien entre B. et la Fondation A. n’est pas établi, et qu’il n’y a aucun élément dans les explications données permettant de considérer que les fonds dont disposait la Fondation A. étaient d’origine criminelle ou provenaient d’une fraude fiscale.</w:t>
      </w:r>
    </w:p>
    <w:p>
      <w:r>
        <w:rPr>
          <w:b/>
        </w:rPr>
        <w:t>E. 4.1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4.2</w:t>
      </w:r>
    </w:p>
    <w:p>
      <w:r>
        <w:t>L'examen de l'autorité d'entraide est régi par le principe de l'« utilité potentielle » qui joue un rôle crucial dans l'application du principe de la</w:t>
      </w:r>
    </w:p>
    <w:p>
      <w:r>
        <w:t>- 13 -</w:t>
      </w:r>
    </w:p>
    <w:p>
      <w:r>
        <w:t>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références citées; ZIMMERMANN, op. cit., n° 723, p. 798 ss).</w:t>
      </w:r>
    </w:p>
    <w:p>
      <w:r>
        <w:rPr>
          <w:b/>
        </w:rPr>
        <w:t>E. 4.3</w:t>
      </w:r>
    </w:p>
    <w:p>
      <w:r>
        <w:t>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w:t>
      </w:r>
    </w:p>
    <w:p>
      <w:r>
        <w:rPr>
          <w:b/>
        </w:rPr>
        <w:t>E. 4.4</w:t>
      </w:r>
    </w:p>
    <w:p>
      <w:r>
        <w:t>Il découle de l’exposé des faits contenu dans la demande et dans la lettre de l’autorité requérante du 11 juin 2021, que la Fondation A., en tant que bailleur de fonds et centre d’un réseau opaque de sociétés offshore, aurait servi, notamment à E. et aux structures financières mises sur pied par celui-ci, pour effectuer des investissements immobiliers. Parmi ces investissements figure l’achat et l’entretien du chalet précité, investissements qui auraient été effectués afin de dissimuler l’origine des fonds et les réels bénéficiaires tant</w:t>
      </w:r>
    </w:p>
    <w:p>
      <w:r>
        <w:t>- 14 -</w:t>
      </w:r>
    </w:p>
    <w:p>
      <w:r>
        <w:t>des fonds que des immeubles. Le lien entre la Fondation A. et l’enquête ressort également du fait que l'accusée B. aurait mis à disposition d'une filiale de la Fondation A. quatre comptes bancaires non comptabilisés, par lesquels auraient ensuite transité plusieurs millions de fonds suspects. Les documents bancaires requis concernent le compte de la Fondation A. en Suisse, de ce fait ils sont pertinents pour l’enquête de l'autorité requérante. Ils lui permettront notamment de suivre le paper trail des fonds. Il est de jurisprudence constante qu’en matière de blanchiment l’autorité étrangère doit pouvoir recevoir des informations bancaires complètes et exhaustives (supra consid. 4.2 et 4.3).</w:t>
      </w:r>
    </w:p>
    <w:p>
      <w:r>
        <w:rPr>
          <w:b/>
        </w:rPr>
        <w:t>E. 4.5</w:t>
      </w:r>
    </w:p>
    <w:p>
      <w:r>
        <w:t>Ce grief doit être rejeté.</w:t>
      </w:r>
    </w:p>
    <w:p>
      <w:r>
        <w:rPr>
          <w:b/>
        </w:rPr>
        <w:t>E. 5</w:t>
      </w:r>
    </w:p>
    <w:p>
      <w:r>
        <w:t>Au vu des considérations qui précèdent, le recours, mal fondé, doit être rejeté dans la mesure de sa recevabilité.</w:t>
      </w:r>
    </w:p>
    <w:p>
      <w:r>
        <w:rPr>
          <w:b/>
        </w:rPr>
        <w:t>E. 6</w:t>
      </w:r>
    </w:p>
    <w:p>
      <w:r>
        <w:t>Les frais de procédure, comprenant l'émolument d'arrêté, les émoluments de chancellerie et les débours, sont mis à la charge de la partie qui succombe (art. 63 al. 1 PA, applicable par renvoi de l'art. 39 al. 2 let. b LOAP).</w:t>
      </w:r>
    </w:p>
    <w:p>
      <w:r>
        <w:rPr>
          <w:b/>
        </w:rPr>
        <w:t>E. 6.1</w:t>
      </w:r>
    </w:p>
    <w:p>
      <w:r>
        <w:t>Le montant de l'émolument est calculé en fonction de l'ampleur et de la difficulté de la cause, de la façon de procéder des parties, de leur situation financière et des frais de chancellerie (art. 73 al. 2 LOAP).</w:t>
      </w:r>
    </w:p>
    <w:p>
      <w:r>
        <w:rPr>
          <w:b/>
        </w:rPr>
        <w:t>E. 6.2</w:t>
      </w:r>
    </w:p>
    <w:p>
      <w:r>
        <w:t>La recourante supportera ainsi les frais du présent arrêt, ascendant à CHF 5'000.– (v. art. 8 al. 3 du règlement du 31 août 2010 du Tribunal pénal fédéral sur les frais, émoluments, dépens et indemnités de la procédure pénale fédérale [RFPPF; RS 173.713.162] et art. 63 al. 5 PA), lesquels sont entièrement couverts par l'avance de frais déjà acquittée.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