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RR.2021.19 vom 12. Mai 2021</w:t>
      </w:r>
    </w:p>
    <w:p>
      <w:r>
        <w:t>Bundesstrafgericht, 2021-05-12, IT</w:t>
      </w:r>
    </w:p>
    <w:p>
      <w:r>
        <w:rPr>
          <w:b/>
        </w:rPr>
        <w:t xml:space="preserve">Quelle: </w:t>
      </w:r>
      <w:r>
        <w:t>https://mcp.opencaselaw.ch/entscheid/bstger_RR.2021.19</w:t>
      </w:r>
    </w:p>
    <w:p>
      <w:r>
        <w:t>FR: TPF RR.2021.19 du 12 mai 2021</w:t>
      </w:r>
    </w:p>
    <w:p>
      <w:r>
        <w:t>IT: TPF RR.2021.19 del 12 maggio 2021</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Di rilievo nella fattispecie è anche la Convenzione delle Nazioni Unite contro la corruzione (in seguito: UNCAC), con- clusa il 31 ottobre 2003, entrata in vigore per il Brasile il 14 dicembre 2005 e per la Svizzera il 24 ottobre 2009 (RS 0.311.56), in particolare gli art. 43 e segg. Alle questioni che il prevalente diritto internazionale contenuto in tale trattato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art. 32 Trattato svizzero- brasiliano; DTF 142 IV 250 consid. 3; 140 IV 123 consid. 2; 137 IV 33 consid. 2.2.2; 136 IV 82 consid. 3.1; 135 IV 212 consid. 2.3). È fatto salvo il rispetto dei diritti fondamentali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5 gennaio 2021, il ricorso è ricevibile sotto il profilo degli art. 25 cpv. 1, 80e cpv. 1 e 80k AIMP. Nella misura in cui la ricorrente è titolare della relazione bancaria oggetto della decisione impugnata, la legittimazione ricorsuale è data (v. art. 80h lett. b AIMP e art. 9a lett. a OAIMP nonché DTF 137 IV 134 consid. 5.2.1; 130 II 162 consid. 1.1; 128 II 211 consid. 2.3; TPF 2007 79 consid. 1.6 pag. 82).</w:t>
      </w:r>
    </w:p>
    <w:p>
      <w:r>
        <w:rPr>
          <w:b/>
        </w:rPr>
        <w:t>E. 2</w:t>
      </w:r>
    </w:p>
    <w:p>
      <w:r>
        <w:t>La ricorrente censura la violazione del principio della proporzionalità, in quanto la quasi totalità delle informazioni sul conto oggetto della decisione impugnata non avrebbe alcuna connessione con B., C. SA e le altre entità coinvolte nel procedimento estero. La trasmissione di tutta la documentazione litigiosa cau- serebbe un virtuale pregiudizio, a livello di privacy e di reputazione, a terzi che nulla avrebbero a che vedere con i fatti sotto inchiesta.</w:t>
      </w:r>
    </w:p>
    <w:p>
      <w:r>
        <w:rPr>
          <w:b/>
        </w:rPr>
        <w:t>E. 2.1.1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w:t>
      </w:r>
    </w:p>
    <w:p>
      <w:r>
        <w:t>- 5 -</w:t>
      </w:r>
    </w:p>
    <w:p>
      <w:r>
        <w:t>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utilizzati, visto che l’autorità in- quirente estera ha un interesse a conoscere qualsiasi transazione che possa far parte del meccanismo delittuoso messo in atto dalle persone sotto inchiesta (v. decisione del Tribunale penale federale RR.2014.4 del 30 luglio 2014 consid. 2.2.2). Naturalmente è anche possibile che i conti in questione non siano stati utilizzati per ricevere proventi di reati o per effettuare trasferimenti illeciti o rici- clare fondi, ma l’autorità richiedente ha comunque interesse a poterlo verificare essa stessa, sulla base di una documentazione completa, tenendo presente che l’assistenza reciproca è finalizzata non solo alla raccolta di prove incrimi- 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 plementari (DTF 136 IV 82 consid. 4.1; 121 II 241 consid. 3; sentenza del Tri- bunale federale 1C_486/2008 dell'11 novembre 2008 consid. 2.4; sentenza del Tribunale penale federale RR.2011.113 del 28 luglio 2011 consid. 4.2), con evi- 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La coopération judiciaire internationale en matière pénale, 5a ediz. 2019, n. 722, pag. 798 e seg.).</w:t>
      </w:r>
    </w:p>
    <w:p>
      <w:r>
        <w:t>- 6 -</w:t>
      </w:r>
    </w:p>
    <w:p>
      <w:r>
        <w:rPr>
          <w:b/>
        </w:rPr>
        <w:t>E. 2.1.2</w:t>
      </w:r>
    </w:p>
    <w:p>
      <w:r>
        <w:t>In concreto, l’utilità potenziale della documentazione litigiosa è certamente data. Il MPC ha infatti assodato l’esistenza di alcune operazioni sospette avvenute sulla relazione litigiosa collegate con conti riconducibili a persone coinvolte nelle indagini estere. Secondo quanto accertato dal MPC, tra giugno 2011 e luglio 2014, la ricorrente ha ricevuto su un proprio conto presso Banca E. un importo complessivo di EUR 37'220'000.– proveniente dalla società F. Ltd , società ap- partenente al gruppo G. Su una relazione intestata alla società H. Limited presso Banca I., di cui B. è beneficiario economico, è stato accreditato, tra di- cembre 2011 e agosto 2014, un importo complessivo di EUR 10'273'695.– pro- veniente dal conto intestato alla ricorrente presso Banca E. La società F. Ltd ha versato alla ricorrente, sul conto presso Banca E., un importo di EUR 129'303.90, poi trasferito sul conto litigioso presso Banca D. (v. atto MPC2_20171229_003_0386_F, in rubrica 5.1 incarto MPC). Un altro importo di EUR 16'500.– è stato accreditato su quest’ultimo conto proveniente dal conto della ricorrente presso Banca E. (v. ibidem). La ricorrente stessa ha confermato l’esistenza di queste ultime due operazioni, ammettendo la loro indiretta con- nessione con i fatti oggetto delle indagini brasiliane (v. act. 1, pag. 11). Ad ogni modo, vista la natura dei reati contestati agli indagati, l'autorità rogante deve avere la possibilità di esaminare tutta la documentazione litigiosa (v. supra con- sid. 2.1.1). L'interesse alla “privacy” di terze persone menzionate nella mede- sima non può del resto prevalere, nelle descritte circostanze, sulle necessità di indagine e sull'obbligo della Svizzera di accordare l'assistenza più ampia pos- sibile (v. sentenza del Tribunale federale 1A.182/2006 del 9 agosto 2007 con- sid. 3.3). Il diritto alla riservatezza non prevale manifestamente sugli interessi dell'autorità estera di valutare essa stessa la natura criminale o meno dei flussi finanziari in capo alla ricorrente. Per tacere del fatto che dall’analisi della docu- mentazione litigiosa potrebbero emergere altre entità, ancora sconosciute all’autorità rogante, coinvolte nei fatti sotto inchiesta all’estero.</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 e la consolidata giurisprudenza in materia (v. supra consid. 2.1.1).</w:t>
      </w:r>
    </w:p>
    <w:p>
      <w:r>
        <w:rPr>
          <w:b/>
        </w:rPr>
        <w:t>E. 2.2.1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w:t>
      </w:r>
    </w:p>
    <w:p>
      <w:r>
        <w:t>- 7 -</w:t>
      </w:r>
    </w:p>
    <w:p>
      <w:r>
        <w:t>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2.2.2</w:t>
      </w:r>
    </w:p>
    <w:p>
      <w:r>
        <w:t>Ebbene, visto quanto esposto in precedenza (v. supra consid. 2.1) nonché l’im- porto complessivo di EUR 40 milioni che l’autorità rogante ha indicato essere stato versato da C. SA, attraverso la F. Ltd, sul conto della ricorrente presso Banca E., importo decisamente superiore ai valori qui sequestrati, è senz'altro possibile concludere che esistono elementi sufficienti per confermare il seque- stro della relazione intestata alla ricorrente. Il potenziale nesso fra il denaro se- questrato e i reati contestati a B. è dato: toccherà poi all'autorità estera accer- tare se il denaro in questione è effettivamente di origine illecita. In caso affer- mativo, esso potrebbe fare l'oggetto di una decisione di confisca o di restitu- zione all'avente diritto nello Stato richiedente (v. art. 74a cpv. 1 e 2 AIMP nonché DTF 123 II 134 consid. 5c; 123 II 268 consid. 4; 123 II 595 consid. 3). In defini- tiva, il sequestro litigioso deve essere mantenuto di principio sino alla notifica di una decisione definitiva ed esecutiva dello Stato richiedente o fintanto che que- st'ultimo non abbia comunicato che una tale decisione non può più essere pro- nunciata (art. 74a cpv. 3 AIMP e 33a OAIMP; TPF 2007 124 consid. 8 e rinvii), ferma restando la necessità che la procedura all'estero progredisca (DTF 126 II 462 consid. 5e). La ricorrente non ha peraltro sostanziato nessuno spropor- zionato pregiudizio economico cagionato dal sequestro, per cui anche da que- sto punto di vista la misura in questione non presenta sostanziali criticità. Ne consegue che il sequestro va confermato e la relativa censura respinta.</w:t>
      </w:r>
    </w:p>
    <w:p>
      <w:r>
        <w:rPr>
          <w:b/>
        </w:rPr>
        <w:t>E. 3</w:t>
      </w:r>
    </w:p>
    <w:p>
      <w:r>
        <w:t>L’insorgente sostiene che il procedimento penale alla base della presente roga- toria sarebbe già stato archiviato più di due anni fa. Le relative decisioni sareb- bero state pubblicate in Internet. La sentenza n. 605/2017 della Corte dei Conti in Brasile avrebbe concluso che non vi sarebbero state irregolarità e sovrap- prezzi nella vicenda oggetto d’indagine.</w:t>
      </w:r>
    </w:p>
    <w:p>
      <w:r>
        <w:t>Ora, premesso che non vi è la certezza che le decisioni a cui allude la ricorrente, redatte in lingua portoghese, concernano la fattispecie oggetto del procedi- mento estero alla base della presente rogatoria, nella misura in cui l’autorità rogante non ha dichiarato sino ad oggi di voler ritirare la propria domanda, tale censura non merita ulteriore disamina (v. DTF 113 Ib consid. 5a; sentenza del Tribunale penale federale RR.2007.99 del 10 settembre 2007 consid. 5; ZIMMERMANN, op. cit., n. 305).</w:t>
      </w:r>
    </w:p>
    <w:p>
      <w:r>
        <w:t>- 8 -</w:t>
      </w:r>
    </w:p>
    <w:p>
      <w:r>
        <w:rPr>
          <w:b/>
        </w:rPr>
        <w:t>E. 4</w:t>
      </w:r>
    </w:p>
    <w:p>
      <w:r>
        <w:t>In definitiva, la decisione impugnata va confermata e il gravame integralmente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6'000.–, a carico della ricorrente; essa è coperta dall'anticipo delle spese del medesimo importo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