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RR.2021.189 vom 25. August 2022</w:t>
      </w:r>
    </w:p>
    <w:p>
      <w:r>
        <w:t>Bundesstrafgericht, 2022-08-25, FR</w:t>
      </w:r>
    </w:p>
    <w:p>
      <w:r>
        <w:rPr>
          <w:b/>
        </w:rPr>
        <w:t xml:space="preserve">Quelle: </w:t>
      </w:r>
      <w:r>
        <w:t>https://mcp.opencaselaw.ch/entscheid/bstger_RR.2021.189</w:t>
      </w:r>
    </w:p>
    <w:p>
      <w:r>
        <w:t>FR: TPF RR.2021.189 du 25 août 2022</w:t>
      </w:r>
    </w:p>
    <w:p>
      <w:r>
        <w:t>IT: TPF RR.2021.189 del 25 agosto 2022</w:t>
      </w:r>
    </w:p>
    <w:p>
      <w:pPr>
        <w:pStyle w:val="Heading2"/>
      </w:pPr>
      <w:r>
        <w:t>Regeste</w:t>
      </w:r>
    </w:p>
    <w:p>
      <w:r>
        <w:t>Entraide judiciaire internationale en matière pénale au Royaume-Uni; remise de moyens de preuve (art. 74 EIMP)</w:t>
      </w:r>
    </w:p>
    <w:p>
      <w:pPr>
        <w:pStyle w:val="Heading2"/>
      </w:pPr>
      <w:r>
        <w:t>Erwägungen</w:t>
      </w:r>
    </w:p>
    <w:p>
      <w:r>
        <w:rPr>
          <w:b/>
        </w:rPr>
        <w:t>E. 1</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ainsi que par le Deuxième Protocole additionnel à ladite Convention, entré en vigueur pour la Suisse le 1er février 2005 et pour l'Etat requérant le 1er octobre 2010 (RS 0.351.12). En l’espèce, trouvent également application les dispositions de la Convention relative au blanchiment, au dépistage, à la saisie et à la</w:t>
      </w:r>
    </w:p>
    <w:p>
      <w:r>
        <w:t>- 5 -</w:t>
      </w:r>
    </w:p>
    <w:p>
      <w:r>
        <w:t>confiscation des produits du crime (CBl; RS 0.311.53), entrée en vigueur le 1er septembre 1993. Dans le cadre de la lutte contre la corruption d’agents publics étrangers et le blanchiment d'argent, s’applique aussi la Convention des Nations Unies contre la corruption, conclue à New York le 31 octobre 2003 et entrée en vigueur pour la Suisse le 24 octobre 2009 et pour le Royaume-Uni le 11 mars 2006 (RS 0.311.56). S'appliquent en outre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 fraude; RS 0.351.926.81), puisque ce dernier a été incorporé dans l’Accord commercial entre la Suisse et le Royaume-Uni du 11 février 2019 (RS 0.946.293.671; v. art. 1 ch. 1 let. g) entré en vigueur le 1er janvier 2021.</w:t>
      </w:r>
    </w:p>
    <w:p>
      <w:r>
        <w:rPr>
          <w:b/>
        </w:rPr>
        <w:t>E. 1.2</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ce qui est valable aussi dans le rapport entre elles des normes internationales (v. art. 39 ch. 3 CBI). Le respect des droits fondamentaux est réservé (ATF 135 IV 212 consid. 2.3; 123 II 595 consid. 7c p. 617).</w:t>
      </w:r>
    </w:p>
    <w:p>
      <w:r>
        <w:rPr>
          <w:b/>
        </w:rPr>
        <w:t>E. 2</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A., B. Limited, D. SA, F. SASU et H. SASU, en tant que titulaires, respectivement des comptes nos 5; 2, 6, 1, 4 auprès de la banque M. Genève, relations visées par la décision querellée.</w:t>
      </w:r>
    </w:p>
    <w:p>
      <w:r>
        <w:rPr>
          <w:b/>
        </w:rPr>
        <w:t>E. 2.1</w:t>
      </w:r>
    </w:p>
    <w:p>
      <w:r>
        <w:t>Le délai de recours contre la décision de clôture partielle est de 30 jours dès la communication écrite de celles-ci (art. 80k EIMP). Interjeté le 15 septembre 2021, le recours l’a été en temps utile. Il est toutefois irrecevable à l’égard de C. Limited. Cette recourante n’a en effet pas complété l’acte de recours dans les délais impartis par la Cour de céans</w:t>
      </w:r>
    </w:p>
    <w:p>
      <w:r>
        <w:t>- 6 -</w:t>
      </w:r>
    </w:p>
    <w:p>
      <w:r>
        <w:t>(supra, let. F).</w:t>
      </w:r>
    </w:p>
    <w:p>
      <w:r>
        <w:rPr>
          <w:b/>
        </w:rPr>
        <w:t>E. 3</w:t>
      </w:r>
    </w:p>
    <w:p>
      <w:r>
        <w:t>Dans un premier grief, les recourants se plaignent d’une violation de l’art. 2 let. a et d EIMP. La procédure à l’étranger ne serait pas conforme à la Convention européenne du 4 novembre 1950 de sauvegarde des droits de l’homme et des libertés fondamentales (ci-après: CEDH). Selon les recourants, les audiences tenues en juillet 2021 devant la Lord High Court auraient révélé l’existence d’un dysfonctionnement dès lors que le SFO aurait été instrumentalisé pendant des années par le mandataire de la société J. aux fins d’enrichissement personnel de ce dernier. Cette malversation aurait été engagée par ledit mandataire en accointance avec N., ancien directeur général du SFO, lors de rencontres confidentielles non- autorisées et d’entretiens téléphoniques dont l’existence a été reconnue par son successeur, Sir O., lors des auditions devant la London High Court. L’instrumentalisation procédurale aurait empiré la situation de la société J. dont les données confidentielles auraient été données au SFO de sorte à relancer les soupçons à son égard. Pour les recourants, cette manipulation aurait également entaché la procédure d’entraide. Les nombreuses demandes complémentaires s’expliqueraient par l’acharnement procédural dû aux nouveaux soupçons engendrés par le mandataire de la société J. Les recourants critiquent en outre l’utilisation de moyens de preuve provenant d’une procédure confidentielle d’arbitrage en cours en Israël. Ces données seraient des preuves illicites mises à disposition par le mandataire précité. De ce fait, leur utilisation viole la loi israélienne. Eu égard à leur illégalité, elles proviendraient d’un vol ou d’une violation du devoir de fonction. Il s’agirait dès lors de preuves illégales et donc inutilisables selon l’art. 141 CPP. Pour les recourants, la demande d’entraide serait entachée de vices, dès lors elle serait irrecevable.</w:t>
      </w:r>
    </w:p>
    <w:p>
      <w:r>
        <w:rPr>
          <w:b/>
        </w:rPr>
        <w:t>E. 3.1</w:t>
      </w:r>
    </w:p>
    <w:p>
      <w:r>
        <w:t>Selon la jurisprudence, à défaut d'un retrait formel de la demande, d'un jugement ou d'une décision mettant définitivement fin à l'action pénale et susceptible de conduire à l'application de l'art. 5 al. 1 let. a EIMP, l'autorité suisse reste tenue d'exécuter la demande dont elle est saisie (arrêts du Tribunal fédéral 1C_284/2011 du 18 juillet 2011 consid. 1 et références citées; 1A.218/2003 du 17 décembre 2003 consid. 3.5 in fine; 1A.267/1999 du 7 janvier 2000; arrêts du Tribunal pénal fédéral RR.2012.181-184 du 12 février 2013 consid. 6; RR.2012.138 du 1er février 2013 consid. 3.3 et références citées). Dans le cas d’espèce, l’on ne se trouve manifestement pas dans cette situation et les recourant ne tentent d’ailleurs pas de le démontrer. La Suisse est donc tenue de fournir l’entraide requise en vertu de ses engagements internationaux (supra consid. 1.1).</w:t>
      </w:r>
    </w:p>
    <w:p>
      <w:r>
        <w:t>- 7 -</w:t>
      </w:r>
    </w:p>
    <w:p>
      <w:r>
        <w:rPr>
          <w:b/>
        </w:rPr>
        <w:t>E. 3.2</w:t>
      </w:r>
    </w:p>
    <w:p>
      <w:r>
        <w:t>Il est également de jurisprudence constante que l’Etat requis n’a pas à examiner la validité des preuves recueillies par l’Etat requérant (ZIMMERMANN, La coopération judiciaire internationale en matière pénale, 5e éd. 2019, n° 299, p. 317). Dans les rapports d’entraide la règle de la bonne foi entre Etat est de rigueur et la bonne foi est présumée (ZIMMERMANN, op. cit., n° 202, p. 310). Dans le cas d’espèce, les allégations des recourants sont d’ordre général et ne se fondent sur aucun élément concret et sérieux permettant à la Cour de céans de renverser la présomption de bonne foi entre Etats. Il n’appartient pas non plus au juge de l’entraide de vérifier la légalité de preuves acquises dans un Etat tiers, in casu Israël. Cela d’autant moins que ces griefs doivent en premier lieu être soulevés devant l’Etat requérant qui est également partie à la CEDH. Dans ces conditions, la question d’une éventuelle application de l’art. 141 CPP tombe manifestement à faux. Il s’ensuit que le grief doit être écarté.</w:t>
      </w:r>
    </w:p>
    <w:p>
      <w:r>
        <w:rPr>
          <w:b/>
        </w:rPr>
        <w:t>E. 4</w:t>
      </w:r>
    </w:p>
    <w:p>
      <w:r>
        <w:t>Dans un deuxième grief, il est invoqué la violation du principe de la proportionnalité. Les informations bancaires demandées n’auraient aucun lien avec les faits sous enquête. Les fonds litigieux auraient été utilisés pour l’achat de diverses marchandises sur le marché international et n’auraient rien à voir avec d’éventuels remboursements d’avances d’argent.</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- 8 -</w:t>
      </w:r>
    </w:p>
    <w:p>
      <w:r>
        <w:rPr>
          <w:b/>
        </w:rPr>
        <w:t>E. 4.2</w:t>
      </w:r>
    </w:p>
    <w:p>
      <w:r>
        <w:t>L'examen de l'autorité d'entraide est régi par le principe de l'« utilité potentielle » qui joue un rôle crucial dans l'application du principe de la proportionnalité en matière d'entraide pénale internationale (ATF 122 II 367 consid. 2c et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w:t>
      </w:r>
    </w:p>
    <w:p>
      <w:r>
        <w:t>- 9 -</w:t>
      </w:r>
    </w:p>
    <w:p>
      <w:r>
        <w:t>1A.75/2006 du 20 juin 2006 consid. 3.2; 1A.79/2005 du 27 avril 2005 consid. 4.2; 1A.59/2005 du 26 avril 2005 consid. 6.2). 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4.3</w:t>
      </w:r>
    </w:p>
    <w:p>
      <w:r>
        <w:t>En l’espèce, il ressort de la demande d’entraide que l’autorité requérante mène une instruction complexe notamment des chefs de corruption et de blanchiment d’argent. Il ressort également de la demande que les relations bancaires détenues par les recourants pourraient avoir été utilisées directement ou indirectement pour commettre les infractions sous enquête dans le Royaume-Uni. Or, il est de la nature même de ces d’infractions que des fonds soient transférés notamment au moyen de transactions pouvant à première vue paraître légales, cela dans le but d’interrompre la traçabilité des fonds. Eu égard au montage complexe qui aurait été mis en œuvre à des fins corruptives, il n’est pas a priori exclu que les soi-disant opérations d’achat de nourriture ou afférentes à d’autres transactions commerciales aient, de près ou de loin, servi pour blanchir des capitaux. Quoi qu’il en soit c’est au juge requérant du fond qu’il incombe d’apprécier cette question, en ayant à sa disposition des éléments qui pourraient s'avérer pertinents tant à charge qu'à décharge (supra consid. 4.2). Il appert par conséquent que les informations bancaires requises sont potentiellement utiles à l’enquête étrangère. Le grief tiré de la violation du principe de la proportionnalité, respectivement de celui de l'utilité potentielle, se révèle mal fondé et doit, ainsi, être rejeté.</w:t>
      </w:r>
    </w:p>
    <w:p>
      <w:r>
        <w:rPr>
          <w:b/>
        </w:rPr>
        <w:t>E. 5</w:t>
      </w:r>
    </w:p>
    <w:p>
      <w:r>
        <w:t>Dans un dernier grief, les recourants se plaignent d’une violation du droit de consulter le dossier. L’autorité d’exécution aurait omis de transmettre le contenu de l’« Annexe A » à la requête d’entraide. La décision attaquée aurait ainsi été rendue sur la base d’une pièce déterminante à propos de laquelle ils n’auraient pas pu se prononcer. Les recourants se plaignent ainsi d’une violation de leur droit d’être entendu.</w:t>
      </w:r>
    </w:p>
    <w:p>
      <w:r>
        <w:rPr>
          <w:b/>
        </w:rPr>
        <w:t>E. 5.1</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w:t>
      </w:r>
    </w:p>
    <w:p>
      <w:r>
        <w:t>- 10 -</w:t>
      </w:r>
    </w:p>
    <w:p>
      <w:r>
        <w:t>let. a, b et c de la loi fédérale sur la procédure administrative (PA; RS 172.021;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w:t>
      </w:r>
    </w:p>
    <w:p>
      <w:r>
        <w:rPr>
          <w:b/>
        </w:rPr>
        <w:t>E. 5.2</w:t>
      </w:r>
    </w:p>
    <w:p>
      <w:r>
        <w:t>La décision entreprise ne se fonde pas sur la pièce querellée (Annexe A). Les recourants ont eu accès aux demandes d’entraide les concernant, ils ont reçu la notification de la décision entreprise qui est suffisamment motivée pour leur permettre de recourir en connaissance de cause. Ce qu’ils ont par ailleurs pu faire en présentant un mémoire circonstancié. Il convient également de relever que la pièce en question ne figure pas au présent dossier en version non-caviardée. Dans ces conditions, les recourants ayant eu accès aux pièces essentielles à la procédure d’entraide et la pièce litigieuse n’ayant guère été considérée pour fonder la décision entreprise, le grief des recourant tombe manifestement à faux.</w:t>
      </w:r>
    </w:p>
    <w:p>
      <w:r>
        <w:rPr>
          <w:b/>
        </w:rPr>
        <w:t>E. 6</w:t>
      </w:r>
    </w:p>
    <w:p>
      <w:r>
        <w:t>Au vu de ce qui précède, il s’ensuit que le recours doit être rejeté.</w:t>
      </w:r>
    </w:p>
    <w:p>
      <w:r>
        <w:rPr>
          <w:b/>
        </w:rPr>
        <w:t>E. 7</w:t>
      </w:r>
    </w:p>
    <w:p>
      <w:r>
        <w:t>Compte tenu de l’issue du litige, les recourants, qui succombent, supporteront solidairement les frais de procédure sans pouvoir prétendre à des dépens (art. 63 al. 1 PA,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12’000.--, montant couvert par l’avance de frais déjà versée par les recourants.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