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RR.2021.184 vom 26. Januar 2022</w:t>
      </w:r>
    </w:p>
    <w:p>
      <w:r>
        <w:t>Bundesstrafgericht, 2022-01-26, IT</w:t>
      </w:r>
    </w:p>
    <w:p>
      <w:r>
        <w:rPr>
          <w:b/>
        </w:rPr>
        <w:t xml:space="preserve">Quelle: </w:t>
      </w:r>
      <w:r>
        <w:t>https://mcp.opencaselaw.ch/entscheid/bstger_RR.2021.184</w:t>
      </w:r>
    </w:p>
    <w:p>
      <w:r>
        <w:t>FR: TPF RR.2021.184 du 26 janvier 2022</w:t>
      </w:r>
    </w:p>
    <w:p>
      <w:r>
        <w:t>IT: TPF RR.2021.184 del 26 gennaio 2022</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t>- 4 -</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bilaterali”, 8.1 Allegato A). Di rilievo nella fattispecie sono anche la Convenzione sul riciclaggio, la ricerca, il sequestro e la confisca dei proventi di reato, conclusa a Strasburgo l’8 novembre 1990, entrata in vigore il 1° settembre 1993 per la Svizzera ed il 1° maggio 1994 per l’Italia (CRic; RS 0.311.53), l’art. 46 della Convenzione delle Nazioni Unite contro la corruzione (in seguito: UNCAC), con- clusa il 31 ottobre 2003, entrata in vigore per l’Italia il 4 novembre 2009 e per la Svizzera il 24 ottobre 2009 (RS 0.311.56), richiamati gli art. 14 e 23 relativi al riciclaggio in generale, nonché l’art. 18 della Convenzione delle Nazioni Unite contro la criminalità organizzata transnazionale, conclusa il 15 novembre 2000, entrata in vigore per l’Italia il 1° settembre 2006 e per la Svizzera il 26 novembre 2006 (RS 0.311.54). Alle questioni che il prevalente diritto internazionale con- tenuto in detti trattati non regola espressamente o implicitamente, come pure quando il diritto nazionale sia più favorevole all'assistenza rispetto a quello pat- tizio (cosiddetto principio di favore), si applica la legge sull'assistenza in materia penale, unitamente alla relativa ordinanza (OAIMP; RS 351.11; v. art. 1 cpv. 1 AIMP, art. I n. 2 Accordo italo-svizzero; DTF 145 IV 294 consid. 2.1; 142 IV 250 consid. 3; 140 IV 123 consid. 2; 137 IV 33 consid. 2.2.2; 136 IV 82 consid. 3.1). Il principio di favore vale anche nell'applicazione delle pertinenti norme di diritto internazionale (v. art. 48 n. 2 CAS, art. 39 n. 3 CRic e art. I n. 2 Accordo italo- svizzero). È fatto salvo il rispetto dei diritti fondamentali (DTF 145 IV 294 con- 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t>- 5 -</w:t>
      </w:r>
    </w:p>
    <w:p>
      <w:r>
        <w:rPr>
          <w:b/>
        </w:rPr>
        <w:t>E. 1.4</w:t>
      </w:r>
    </w:p>
    <w:p>
      <w:r>
        <w:t>Interposto tempestivamente contro le decisioni di chiusura del 10 agosto 2021, il ricorso è ricevibile sotto il profilo degli art. 25 cpv. 1, 80e cpv. 1 e 80k AIMP. Le ricorrenti sono legittimate a ricorrere ognuna per il proprio conto (v. art. 80h lett. b AIMP, art. 9a lett. a OAIMP nonché DTF 137 IV 134 consid. 5.2.1; 130 II 162 consid. 1.1; 128 II 211 consid. 2.3; TPF 2007 79 consid. 1.6 pag. 82).</w:t>
      </w:r>
    </w:p>
    <w:p>
      <w:r>
        <w:rPr>
          <w:b/>
        </w:rPr>
        <w:t>E. 2</w:t>
      </w:r>
    </w:p>
    <w:p>
      <w:r>
        <w:t>Le ricorrenti contestano innanzitutto l’esposto dei fatti contenuto nella rogatoria, il quale non rispetterebbe le condizioni del diritto internazionale e nazionale svizzero riguardanti forma e contenuto. Esso non permetterebbe di procedere al necessario apprezzamento giuridico del reato e sarebbe inattendibile. I documenti trasmessi dall’autorità estera risulterebbero inoltre inficiati da errori, lacune e contraddizioni manifesti.</w:t>
      </w:r>
    </w:p>
    <w:p>
      <w:r>
        <w:rPr>
          <w:b/>
        </w:rPr>
        <w:t>E. 2.1</w:t>
      </w:r>
    </w:p>
    <w:p>
      <w:r>
        <w:t>Per quanto attiene alla domanda di assistenza, gli art. 14 CEAG, 27 n. 1 CRic, art. 46 n. 15 UNCAC e 28 AIMP esigono in sostanza che essa sia scritta, che indichi l'ufficio da cui emana e all'occorrenza l'autorità competente per il proce- dimento penale, il suo oggetto, il motivo, la qualificazione giuridica del reato, i dati, il più possibile precisi e completi, della persona contro cui è diretto il pro- cedimento penale, presentando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 sid. 2.1.).</w:t>
      </w:r>
    </w:p>
    <w:p>
      <w:r>
        <w:rPr>
          <w:b/>
        </w:rPr>
        <w:t>E. 2.2</w:t>
      </w:r>
    </w:p>
    <w:p>
      <w:r>
        <w:t>In concreto, richiamato quanto già esposto in precedenza (v. supra Fatti lett. A), nella sua rogatoria l’autorità italiana afferma che da accertamenti eseguiti dall’Agenzia delle Dogane e dalla Guardia di Finanza di Potenza emerge che “il capitale sociale di una società coinvolta nel sistema di riciclaggio, tra l’altro rap- presentata da un soggetto coinvolto nella frode per cui si indaga, sia detenuto da due società svizzere, le quali sono gestite dall’Italia direttamente dai soggetti artefici della frode” (act. 10.1, pag. 2). Dagli approfondimenti investigativi è emerso “che la G. SpA di D. (soggetto quest’ultimo che coordina l’attività delit- tuosa e che è in diretto contatto con appartenenti ad organizzazioni mafiose) è</w:t>
      </w:r>
    </w:p>
    <w:p>
      <w:r>
        <w:t>- 6 -</w:t>
      </w:r>
    </w:p>
    <w:p>
      <w:r>
        <w:t>proprietaria della struttura alberghiera a 5 stelle – lusso H. sita in Z. – con con- tratto di locazione di azienda stipulato nel 06.06.2018 – ha affidato la gestione dell’attività alla società B. SpA e successivamente quest’ultima, con speculare negozio giuridico, ha concesso la locazione di azienda alla I. Srl” (ibidem). La B. S.p.A., che gestisce alberghi, è stata costituita il 16 febbraio 2018 e ha la sua sede a Milano. L’amministratore unico è J., residente a Lugano. Tale società è posseduta al 99% da B. SA e all’1% da A. Sagl; queste due società sono rap- presentate legalmente da J. La I. S.r.l., che gestisce anch’essa alberghi, è stata costituita il 20 febbraio 2018 e ha a sua volta la sua sede a Milano; amministra- tore unico è J. Essa è posseduta al 95% da B. S.p.A., di cui J. risulta essere amministratore unico, e al 5% da K. S.r.l., società rappresentata legalmente da L. Quest’ultimo unitamente a J. risultano presenti anche nella società svizzera C. Sagl (v. act. 10.1, pag. 3 e seg.). L’autorità rogante afferma che “quanto al reato di riciclaggio, per ciò che riguarda lo specifico caso oggetto dell’assistenza giudiziaria, lo stesso sarebbe compiuto attraverso fittizi contratti di fitto d’azienda tra società italiane, di cui si sospetta che i pagamenti avvengano per il tramite di iniezioni di liquidità provenienti dalle controllanti svizzere, attraverso variazione del capitale sociale e prestiti da parte dei soci. Si ritiene, sulla base delle indagini svolte, che parte dei proventi di una vasta attività di frode all’IVA (per circa 200 milioni di euro annui) svolta in paesi europei (Slovacchia, Malta, Svezia) dal D., rifluisca verso le società svizzere sopra menzionate per poi rien- trare in Italia attraverso l’affitto del resort sopra indicato, con un canone di loca- zione per oltre un milione di euro annui, del tutto ingiustificato poste che veniva stipulato quando ancora non era noto il fatturato e le potenzialità economiche del resort (non ancora operativo) in una zona d’Italia, peraltro, poco conosciuta e frequentata da turisti. Tale specifica attività di locazione (e quindi di rientro in Italia di capitali dall’estero) infatti, veniva avviato nel 2018, quando sono stati perfezionati i contratti, ben prima che la struttura fosse terminata ed avviata, cosa che è avvenuta nel 2019, incongruità già di per sé degna di attenzione. Tali macroscopiche anomalie nell’utilizzo dei contratti, evidenziate anche dall’antieconomicità delle operazioni (contratti stipulati senza conoscere il fattu- rato della struttura alberghiera), oltre che dalle discrasie temporali tra l’entrata in funzione della struttura ed il perfezionamento degli stessi, rende evidente come a monte di tali operazioni vi sia un disegno criminale volto al reimpiego dei capitali provento della frode ed alla loro ripulitura e reingresso in Italia attra- verso il descritto meccanismo. Con riferimento al carattere doloso del com- plesso delle operazioni sopra descritte si è già riferito […]; qui si aggiunge che, oltre a consentire di portare a compimento i reati di riciclaggio ed il probabile rientro in Italia dei capitali provento della frode si ritiene che i soggetti utilizzino le società elvetiche” (act. 10.1, pag. 5 e seg.).</w:t>
      </w:r>
    </w:p>
    <w:p>
      <w:r>
        <w:t>- 7 -</w:t>
      </w:r>
    </w:p>
    <w:p>
      <w:r>
        <w:t>Quanto precede soddisfa le esigenze normative e giurisprudenziali poste in ma- teria di esposto dei fatti. Sufficientemente chiari risultano parimenti essere i ruoli attribuiti alle ricorrenti nella vicenda. Non spetta del resto al giudice dell'assi- stenza approfondire ulteriormente la fattispecie oggetto d'inchiesta, tantomeno ottenere le prove dei contestati reati. Sarà proprio la documentazione litigiosa a permettere all'autorità estera di progredire nella sua attività investigativa e di acclarare ulteriormente le condotte mosse a carico dei soggetti indagati. Le cen- sure in questo ambito vanno dunque respinte.</w:t>
      </w:r>
    </w:p>
    <w:p>
      <w:r>
        <w:rPr>
          <w:b/>
        </w:rPr>
        <w:t>E. 3</w:t>
      </w:r>
    </w:p>
    <w:p>
      <w:r>
        <w:t>Le ricorrenti censurano la violazione del principio della doppia punibilità, il quale non sarebbe rispettato per nessuna delle infrazioni ipotizzate dall’autorità estera. Esse affermano in particolare che i reati fiscali a monte dell’ipotizzato reato di riciclaggio non costituiscono quei particolari delitti fiscali punibili se- condo l’art. 305bis cpv. 1bis CP, norma applicabile del resto solo dal 1° gennaio 2016. A loro dire, i fatti oggetto dell’inchiesta estera non sarebbero sussumibili né al reato di truffa giusta l’art. 146 CP, né a quello di falsità in documenti, quest’ultimo assorbito dal reato di frode fiscale. Esse sostengono che quando l’autorità rogante procede per un reato di carattere fiscale, il principio secondo cui l’autorità rogata non entra nel merito soffre di un’eccezione, la quale non sarebbe data nel caso concreto. Dovesse sussistere un dubbio, le insorgenti chiedono che si proceda giusta l’art. 24 cpv. 3 OAIMP, domandando un parere all’Amministrazione federale delle contribuzioni (in seguito: AFC). Esse aggiun- gono inoltre che i fatti oggetto del procedimento estero non sarebbero punibili secondo il diritto italiano.</w:t>
      </w:r>
    </w:p>
    <w:p>
      <w:r>
        <w:rPr>
          <w:b/>
        </w:rPr>
        <w:t>E. 3.1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estere menzionati nella domanda di assistenza,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w:t>
      </w:r>
    </w:p>
    <w:p>
      <w:r>
        <w:t>- 8 -</w:t>
      </w:r>
    </w:p>
    <w:p>
      <w:r>
        <w:t>Ib 576 consid. 11b/bb pag. 594). I fatti incriminati non devono forzatamente es- sere caratterizzati, nelle due legislazioni toccate, dalla medesima qualificazione giuridica (DTF 124 II 184 consid. 4b/cc pag. 188). Diversamente dall'ambito estradizionale, le misure di cooperazione sono già ammesse se la condizione della doppia punibilità è ossequiata alla luce di una singola fattispecie (sentenza del Tribunale federale 1C_138/2007 del 17 luglio 2007 consid. 2.3 e rinvii; TPF 2020 30 consid. 4.2).</w:t>
      </w:r>
    </w:p>
    <w:p>
      <w:r>
        <w:t>L'art. 2 lett. a CEAG permette tuttavia di rifiutare l'assistenza giudiziaria segna- tamente quando la domanda si riferisce a reati considerati dalla Parte richiesta come reati fiscali. Ciò è ribadito all'art. IV par. 2 Accordo italo-svizzero. Secondo l'art. 3 cpv. 3 AIMP, la domanda è irricevibile se il procedimento verte su un reato che sembra volto a una decurtazione di tributi fiscali o viola disposizioni in materia di provvedimenti di politica monetaria, commerciale o economica. Per contro, si può dar seguito a una domanda in ambito di "altra assistenza" se il procedimento verte su una truffa in materia fiscale. Quest'ultima deve essere interpretata sulla base dell'art. 14 cpv. 2 della legge federale sul diritto penale amministrativo (DPA; RS 313.0), disposizione applicabile in virtù del rinvio previsto all'art. 24 cpv. 1 OAIMP. Una truffa fiscale è realizzata se l'autore, me- diante inganno astuto, fa sì che l'ente pubblico si trovi defraudato di una tassa, un contributo o un'altra prestazione o venga a essere altrimenti pregiudicato nei suoi interessi patrimoniali (DTF 125 II 250 consid. 3a). La nozione d'inganno astuto corrisponde sostanzialmente a quella applicata in ambito di truffa ai sensi dell'art. 146 CP (DTF 126 IV 165 consid. 2a; TPF 2015 110 consid. 5.2.3 con rinvii). Per realizzare il reato di truffa fiscale non è indispensabile fare uso di documenti falsi o alterati, ma sono ipotizzabili anche altri metodi. Secondo la giurisprudenza, sono comunque in genere necessarie manovre fraudolente, una messa in scena o un edificio di menzogne, affinché si possa ritenere l’esi- stenza di un inganno astuto. In determinate circostanze anche false informa- zioni la cui verifica non è possibile, è difficile o non è ragionevolmente esigibile possono costituire un inganno astuto, come pure se il truffatore dissuade la vit- tima dall'effettuare una verifica o prevede, date le circostanze, che essa rinun- cerà a farlo in virtù, segnatamente, di un particolare rapporto di fiducia (DTF 139 II 404 consid. 9.4; 137 IV 25 consid. 4.4.3.2 con rinvii; 135 IV 76 consid. 5.2; v. anche TPF 2008 128 consid. 5.4).</w:t>
      </w:r>
    </w:p>
    <w:p>
      <w:r>
        <w:t>Quando la domanda è presentata per il perseguimento di una truffa fiscale, la Svizzera, in qualità di Stato richiesto, deroga alla regola secondo la quale l'autorità d'esecuzione non deve determinarsi sulla realtà dei fatti (DTF 118 Ib 111 consid. 5b). Pur senza dover fornire prove indiscutibili sulla colpevolezza della persona perseguita, lo Stato richiedente deve sostanziare l'esistenza di sufficienti sospetti circa la commissione di una truffa fiscale (DTF 125 II 250 consid. 5b; 118 Ib 111 consid. 5b). Tali particolari esigenze hanno come scopo quello di evitare che le norme ostative all'assistenza in materia economica e</w:t>
      </w:r>
    </w:p>
    <w:p>
      <w:r>
        <w:t>- 9 -</w:t>
      </w:r>
    </w:p>
    <w:p>
      <w:r>
        <w:t>fiscale vengano raggirate (TPF 2007 150 consid. 3.2.4). Lo Stato richiedente non deve necessariamente allegare alla domanda i mezzi di prova. È sufficiente ch'esso li indichi e ne renda verosimile l'esistenza (v. sentenza del Tribunale federale 1A.183/1995 del 13 ottobre 1995 consid. 2d, citata da ZIMMERMANN, La coopération judiciaire internationale en matière pénale, 5a ediz. 2019, pag. 700 n. 645 nota 884). Ciò non vale tuttavia in ambito di fiscalità indiretta, dove la Svizzera si è impegnata a fornire reciprocamente assistenza giusta l’art. 50 cpv. 1 CAS per quanto concerne le accise, l’imposta sul valore aggiunto e le imposte doganali. Per tali imposte indirette l’art. 50 cpv. 1 CAS non fa infatti distinzioni di sorta fra sottrazione d'imposta e truffa fiscale. A tale riguardo, la distinzione fra evasione e frode fiscale non costituisce dunque più una discrimi- nante di rilievo (v. KOCHER, Commentario basilese, 2015, n. 121 e segg. ad art. 3 AIMP; UNSELD, Internationale Rechtshilfe im Steuerrecht: Akzessorische Rechtshilfe, Auslieferung und Vollstreckungshilfe bei Fiskaldelikten, 2011, pag. 135, 147 e seg.; sentenza del Tribunale penale federale RR.2010.262 dell’11 giugno 2012 consid. 1.2.2).</w:t>
      </w:r>
    </w:p>
    <w:p>
      <w:r>
        <w:rPr>
          <w:b/>
        </w:rPr>
        <w:t>E. 3.2</w:t>
      </w:r>
    </w:p>
    <w:p>
      <w:r>
        <w:t>Nella fattispecie, nella misura in cui il procedimento estero verte su reati legati all’utilizzo di fatture false finalizzate alla frode fiscale (v. supra Fatti lett. A e consid. 2.2), i fatti contestati agli indagati possono perlomeno essere sussunti ai reati di falsità in documenti (art. 251 CP) e truffa in materia fiscale (art. 14 cpv. 2 DPA), come la giurisprudenza ha del resto già avuto modo di rilevare in questi casi (v. sentenze del Tribunale penale federale RR.2021.148 del 2 di- cembre 2021 consid. 5; RR.2021.4 del 22 aprile 2021 consid. 5). Trattandosi di reati in ambito di imposte indirette ciò è sufficiente per ammettere il requisito della doppia punibilità (v. supra consid. 3.1 in fine). Non spetta per contro al giudice dell’assistenza esaminare la punibilità secondo il diritto estero, fatti salvi casi d’abuso qui palesemente esclusi e nemmeno ipotizzati nel ricorso (v. sen- tenza del Tribunale penale federale RR.2021.58-59 del 17 giugno 2021 con- sid. 4.2; più ampiamente MOREILLON, Commentaire romand, 2004, Introduction générale, n. 591). Visto quanto precede, la richiesta tesa ad ottenere un parere da parte dell’AFC ai sensi dell’art. 24 OAIMP va disattesa e tutte le censure in questo ambito vanno respinte.</w:t>
      </w:r>
    </w:p>
    <w:p>
      <w:r>
        <w:rPr>
          <w:b/>
        </w:rPr>
        <w:t>E. 4</w:t>
      </w:r>
    </w:p>
    <w:p>
      <w:r>
        <w:t>Le insorgenti sostengono che la decisione impugnata violi il principio della pro- porzionalità e il divieto della fishing expedition, nella misura in cui la documen- tazione litigiosa non presenterebbe alcuna utilità per il procedimento estero. Inoltre, l’analisi informatica sarebbe avvenuta senza minimamente rispettare le regole previste dallo standard internazionale denominato “Codice ISO/IEC 27037”, ragione per cui la decisione sarebbe da annullare già solo per tale mo- tivo e l’incarto da rimandare al MPC affinché proceda in conformità del suddetto standard.</w:t>
      </w:r>
    </w:p>
    <w:p>
      <w:r>
        <w:t>- 10 -</w:t>
      </w:r>
    </w:p>
    <w:p>
      <w:r>
        <w:rPr>
          <w:b/>
        </w:rPr>
        <w:t>E. 4.1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necessarie o utili per il procedimento estero deve essere lasciata, di massima, all'apprezzamento delle autorità richiedenti (DTF 136 IV 82 consid. 4.1; sentenza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(sentenza del Tribunale penale federale RR.2014.4 del 30 luglio 2014 con- sid. 2.2.2). Naturalmente è anche possibile che i conti in questione non siano stati utilizzati per ricevere proventi di reati o per effettuare trasferimenti illeciti o riciclare fondi, ma l’autorità richiedente ha comunque interesse a poterlo verifi- care essa stessa, sulla base di una documentazione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consid. 4.2). La trasmissione dell'intera docu- mentazione potrà evitare altresì che le autorità debbano inoltrare eventuali domande complementari (DTF 136 IV 82 consid. 4.1; 121 II 241 consid. 3;</w:t>
      </w:r>
    </w:p>
    <w:p>
      <w:r>
        <w:t>- 11 -</w:t>
      </w:r>
    </w:p>
    <w:p>
      <w:r>
        <w:t>sentenza del Tribunale federale 1C_486/2008 dell'11 novembre 2008 con- sid. 2.4; sentenza del Tribunale penale federale RR.2011.113 del 28 luglio 2011 consid. 4.2), con evidente intralcio alle esigenze di celerità (v. anche art. 17a cpv. 1 AIMP). In base alla giurisprudenza, l'esame da parte delle autorità di esecuzione e del giudice dell'assistenza va orientato alla cosiddetta utilità po- tenziale, secondo cui la consegna giusta l'art. 74 AIMP è esclusa soltanto per quei mezzi di prova certamente privi di rilevanza per il procedimento penale all'estero (DTF 134 II 318 consid. 6.4; 126 II 258 consid. 9c; 122 II 367 con- sid. 2c; 121 II 241 consid. 3a e b; TPF 2010 73 consid. 7.1). Il principio dell’utilità potenziale gioca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 dente a provare i fatti evidenziati dall'inchiesta,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722, pag. 798 e seg.). Vietata è per contro la cosiddetta fishing expedition, la quale è definita dalla giurisprudenza una ricerca generale e indeterminata di mezzi di prova volta a fondare un sospetto senza che esistano pregressi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4.2</w:t>
      </w:r>
    </w:p>
    <w:p>
      <w:r>
        <w:t>In concreto, l’utilità potenziale della documentazione litigiosa è certamente data, nella misura in cui le società titolari delle relazioni bancarie in questione sono espressamente menzionate nella rogatoria in quanto coinvolte nei fatti oggetto dell’inchiesta estera (v. supra consid. 2.2). Il MPC ha del resto indicato svariate operazioni intervenute sui conti in parola – tra i tre conti stessi, ma anche tra i medesimi e altri conti intestati a terzi – che necessitano di approfondimenti che l’autorità rogante deve potere effettuare, vista la natura dei reati, con l’ausilio di tutta la documentazione bancaria disponibile, al fine di ricostruire tutti i flussi patrimoniali intervenuti tra le entità coinvolte nelle indagini (v. act. 1.1, pag. 7 e seg. di tutte e tre le decisioni impugnate; v. anche act. 10, pag. 4 e segg.). Per quanto riguarda l’asserita analisi informatica che non avrebbe ossequiato lo standard internazionale ISO/IEC 27037, si rileva che oggetto delle tre decisioni di chiusura impugnate è la totalità della documentazione concernente le tre relazioni bancarie. In sede di risposta il MPC ha affermato che non vi è stata alcuna analisi informatica o forense della documentazione in questione, la</w:t>
      </w:r>
    </w:p>
    <w:p>
      <w:r>
        <w:t>- 12 -</w:t>
      </w:r>
    </w:p>
    <w:p>
      <w:r>
        <w:t>quale, una volta ricevuta dalle banche, è stata esaminata dall’autorità d’esecu- zione “senza l’ausilio di alcuna parola chiave, perito e senza analisi informatica forense” (act. 10, pag. 15), affermazione che non è stata oggetto di replica da parte delle ricorrenti. Ci fosse anche stata una cernita di dati in formato elettro- nico, si rileva che la valutazione probatoria di eventuale materiale informatico ottenuto in via rogatoriale, compreso il rispetto dello standard ISO/IEC27037, spetterebbe in ogni caso al giudice estero del merito (v. sentenza del Tribunale federale 1C_506/2021 del 20 ottobre 2021 consid. 2.3; sentenza Tribunale pe- nale federale RR.2021.106 del 24 agosto 2021 consid. 3.2).</w:t>
      </w:r>
    </w:p>
    <w:p>
      <w:r>
        <w:t>Spetterà infine al giudice estero del merito valutare se dalla documentazione inoltrata emerge in concreto una connessione penalmente rilevante fra i fatti oggetto della procedura penale in Italia e detta documentazione. Alla luce della domanda rogatoriale risulta che tutta la documentazione litigiosa è potenzial- mente utile per l’inchiesta, motivo per cui la sua trasmissione rispetta il principio della proporzionalità e non costituisce una ricerca esplorativa e indiscriminata di prove.</w:t>
      </w:r>
    </w:p>
    <w:p>
      <w:r>
        <w:rPr>
          <w:b/>
        </w:rPr>
        <w:t>E. 5</w:t>
      </w:r>
    </w:p>
    <w:p>
      <w:r>
        <w:t>In conclusione, il ricorso va integralmente respinto e le decisioni impugnate con- fermate.</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complessivi fr. 6'000.–, a carico delle ricorrenti in solido; essa è coperta dall'anticipo delle spese del medesimo importo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