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RR.2021.181 vom 18. Januar 2022</w:t>
      </w:r>
    </w:p>
    <w:p>
      <w:r>
        <w:t>Bundesstrafgericht, 2022-01-18, IT</w:t>
      </w:r>
    </w:p>
    <w:p>
      <w:r>
        <w:rPr>
          <w:b/>
        </w:rPr>
        <w:t xml:space="preserve">Quelle: </w:t>
      </w:r>
      <w:r>
        <w:t>https://mcp.opencaselaw.ch/entscheid/bstger_RR.2021.181</w:t>
      </w:r>
    </w:p>
    <w:p>
      <w:r>
        <w:t>FR: TPF RR.2021.181 du 18 janvier 2022</w:t>
      </w:r>
    </w:p>
    <w:p>
      <w:r>
        <w:t>IT: TPF RR.2021.181 del 18 gennaio 2022</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w:t>
      </w:r>
    </w:p>
    <w:p>
      <w:r>
        <w:t>- 4 -</w:t>
      </w:r>
    </w:p>
    <w:p>
      <w:r>
        <w:t>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6 agosto 2021, il ricorso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consid. 2.3; TPF 2007 79 consid. 1.6 pag. 82).</w:t>
      </w:r>
    </w:p>
    <w:p>
      <w:r>
        <w:t>- 5 -</w:t>
      </w:r>
    </w:p>
    <w:p>
      <w:r>
        <w:rPr>
          <w:b/>
        </w:rPr>
        <w:t>E. 2</w:t>
      </w:r>
    </w:p>
    <w:p>
      <w:r>
        <w:t>La ricorrente contesta innanzitutto l’esposto dei fatti contenuto nella rogatoria, la quale risulterebbe problematica, ritenuto come l’autorità estera si spinge- rebbe, mediante mere congetture prive di riscontri, a sostenere, da un lato, la commissione di reati comuni in danno del governo iracheno e, dall’altro, la pro- venienza del greggio da pozzi controllati dallo stato islamico sebbene gestito e commercializzato da un’autorità pubblica, ossia il governo regionale curdo. Ul- teriori congetture caratterizzerebbero inoltre altri comportamenti criminalizzati dall’autorità rogante, la quale dimostrerebbe di non conoscere il funzionamento del mercato del petrolio. La domanda di assistenza sarebbe in definitiva per- meata da manifesti e insostenibili errori, lacune e contraddizioni, come pure da un’estrema confusione nell’esposizione dei fatti e delle condotte configuranti reato penale. A suo dire, tale confusione celerebbe verosimilmente la reale in- tenzione dell’autorità rogante, ossia la ricerca indiscriminata di prove, soprat- tutto, se non unicamente, a fini meramente fiscali.</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Nella sua rogatoria, l’autorità estera afferma che dagli atti d’inchiesta espletati “è emerso che, nel biennio 2015/2016, la compagnia di Z. si è approvvigionata a costi considerevolmente più bassi di quelli di mercato. Nell’ambito delle com- plessive 72 operazioni di importazione di olii minerali relative al periodo indicato, gli ispettori ne hanno individuato almeno 21 considerate sospette, giacché i prezzi di acquisto del petrolio risultano decisamente inferiori rispetto alle quota- zioni del platt ufficiale (con valori più bassi, nell’ordine medio, del 23% rispetto ai prezzi correnti e con punte in cui il valore d’acquisto risulta inferiore fino al 43%). In base ai certificati in possesso della società petrolifera, il greggio risulta</w:t>
      </w:r>
    </w:p>
    <w:p>
      <w:r>
        <w:t>- 6 -</w:t>
      </w:r>
    </w:p>
    <w:p>
      <w:r>
        <w:t>essere stato estratto nelle zone dell’Iraq sotto il controllo del Kurdistan Regional Government e, quindi, commercializzato da esportatori di nazionalità turca. Tut- tavia, un esame più accurato della documentazione ha evidenziato ricorrenti criticità, quali: a. l’assenza di certificati di origine idonei ad attestare l’effettivo luogo di estrazione del prodotto; b. ambiguità dei documenti presentati dalle navi incaricate del trasporto della merce (bill of lading, certificati di qualità e quantità), indispensabili per riscontrare l’effettiva presenza del vettore nei luoghi indicati sui documenti di viaggio; c. l’effettuazione di passaggi da nave-a-nave (c.d. allibo o ship-to-ship) da parte dei vettori che si sono occupati del trasporto, che non permettono di riscontrare la dichiarazione di origine resa, spesso, con documenti non ufficiali o irrituali (quali, per esempio, la dichiarazione dei capi- tani delle navi e le attestazione delle autorità portuali del terminal di partenza). L’anomalo valore d’acquisto del greggio è stato chiaramente posto in relazione alle notizie provenienti dalle fonti aperte secondo le quali, nel periodo d’inte- resse, il Governo centrale iracheno – l’unico riconosciuto dalla comunità inter- nazionale – non aveva più autorizzato alla commercializzazione del petrolio il Kurdistan Regional Government che, ciò nonostante, aveva continuato autono- mamente la vendita del greggio. Inoltre, quelle stesse aree estrattive, per un certo periodo, sono state sotto il dominio delle milizie dello stato islamico. Per evidenziare l’anomalia del comportamento della F. spa, le Dogane hanno ap- profondito gli acquisti dei suoi competitor a livello europeo, constatando che le principali compagnie petrolifere avevano fatto ricorso ad altri canali di approvvi- gionamento (verosimilmente rifiutando, nonostante il prezzo sensibilmente in- feriore, il petrolio acquistato invece dalla raffineria di Z.)” (rogatoria del 13 ago- sto 2018, pag. 8 e seg., in rubrica 1 incarto MPC). L’autorità rogante afferma inoltre che “elementi di sospetto derivano dall’intervento, nella catena di acqui- sto degli olii minerali, di una pluralità di intermediari. Dai documenti esaminati dalle Dogane risulta che, nella maggior parte delle operazioni, in origine, il greg- gio è stato fornito dalla società H. di Istanbul che, a sua volta, lo aveva acqui- stato in Iraq (non si hanno però informazioni attendibili sui venditori iracheni seppure sono presenti documenti di transito e di esportazione che dovranno, nei limiti del possibile, essere analizzati). Quindi la H. di Istanbul, da parte sua, aveva ceduto gli olii minerali alla I. Limited, società sedente nelle Isole Vergini Britanniche. Quest’ultima, quindi, li aveva rivenduti alla A. LLP (società che ha sede legale in Londra, ma la sua principale filiale operativa è dislocata in Sviz- zera). Detta società, a sua volta, li aveva alienati alla F. spa. Invero, l’ingiustifi- cata pluralità di operatori può spiegarsi con la volontà di occultare i reali fornitori di greggio, anche perché le indagini hanno evidenziato che, in taluni casi, il prezzo di cessione dalla H. alla I. Limited è inspiegabilmente superiore rispetto a quello a cui la A. LLP rivende lo stesso greggio alla F. spa. Dall’esame dei flussi finanziari possono ricavarsi ulteriori conferme circa la provenienza del pe- trolio raffinato dalla F. spa proprio da quelle aree che non erano più sotto il controllo del Governo di Bagdad, in relazione ai rapporti conflittuali con il KRG ovvero a seguito dell’azione armata dello Stato Islamico. Le dogane, infatti,</w:t>
      </w:r>
    </w:p>
    <w:p>
      <w:r>
        <w:t>- 7 -</w:t>
      </w:r>
    </w:p>
    <w:p>
      <w:r>
        <w:t>hanno reperito sul sito J. una mail il cui contenuto pare da interpretarsi nel senso che il Kurdistan Regional Government ha autorizzato lo storno della somma di 60 milioni di euro, da parte della banca K. di Monaco, in favore della I. Limited. L’acquisto di olii minerali di origine irachena e provenienza turca è ancora più sospetto se si considera che, in precedenza, la raffineria di Z. mai aveva ricorso a quel canale di approvvigionamento” (ibidem, pag. 9 e seg.). Secondo la Pro- cura cagliaritana, “devono fare riflettere anche due operazioni di factoring con le quali la L., sul finire del 2016, ha acquistato da F. spa e da F. sa (società con sede legale in Ginevra, controllata al 100% da F. spa) due crediti, del valore rispettivamente di $ 48.833.140 e di $ 12.838.482, verso la A. LLP. I crediti si riferiscono alla vendita dalla F. spa alla A. LLP (che invece, come si è visto, è abitualmente fornitore della stessa F. spa) di una partita di greggio iracheno che, dai documenti allegati all’operazione, risulta caricato al porto di Bassora sito nell’Iraq del Sud e scaricato nel porto turco di Ceyhan e di una partita di diesel. L’operazione, nonostante plurime ragioni di sospetto, non è stata segna- lata alle competenti autorità da parte della stessa L.” (ibidem, pag. 10). Per quanto attiene più particolarmente ai reati oggetto dell’inchiesta estera, “le atti- vità investigative in corso – come detto pregiudizialmente dirette a trovare con- ferma processuale in ordine alla natura illecita del petrolio proveniente dal Kur- distan – sono relative alla configurabilità, innanzitutto, del delitto di ricettazione (art. 648 c.p.) in relazione al consapevole acquisto di un bene illegittimamente sottratto al legittimo titolare (costituito dal Governo Iracheno). Sono, inoltre, in corso accertamenti finalizzati ad appurare se l’estrazione del petrolio possa es- sere avvenuta in aree controllate da formazioni del sedicente stato islamico con conseguente possibilità che la vendita del greggio abbia consentito alle milizie stesse, ovvero ad altre organizzazioni jihadiste ad esse collegate, di reperire ingenti somme di denaro destinate a sostenere le attività terroristiche, con pos- sibile configurabilità del reato di cui all’art. 270-quinquies 1 c.p. Risultano, inol- tre, ipotizzabili i delitti di riciclaggio (art. 648-bis) ed autoriciclaggio (art. 648-ter 1 c.p.) con riferimento, rispettivamente, ai flussi finanziari connessi alla sopra evidenziata mancata segnalazione di operazioni sospette afferente alla ces- sione di credito intercorsa tra F. s.a. e A. LLP di Lugano, in quanto si tratta di operazioni economiche relative ai proventi dell’impiego del greggio di prove- nienza delittuosa” (ibidem, pag. 11).</w:t>
      </w:r>
    </w:p>
    <w:p>
      <w:r>
        <w:t>Quanto precede, oltre a ulteriori elementi e dettagli messi in evidenza nella ro- gatoria (v. ibidem, pag. 11 e segg.), soddisfa le esigenze normative e giurispru- denziali poste in materia di esposto dei fatti. Non spetta peraltro al giudice dell'assistenza approfondire ulteriormente la fattispecie oggetto d'inchiesta, tan- tomeno ottenere le prove dei contestati reati. Sarà proprio la documentazione litigiosa a permettere all'autorità estera di progredire nella sua attività investiga- tiva e di acclarare ulteriormente le condotte mosse a carico dei soggetti indagati. La rogatoria non presenta in ogni caso contraddizioni o errori evidenti che ne</w:t>
      </w:r>
    </w:p>
    <w:p>
      <w:r>
        <w:t>- 8 -</w:t>
      </w:r>
    </w:p>
    <w:p>
      <w:r>
        <w:t>inficerebbero la sua validità. Le censure in questo ambito vanno quindi disat- tese.</w:t>
      </w:r>
    </w:p>
    <w:p>
      <w:r>
        <w:rPr>
          <w:b/>
        </w:rPr>
        <w:t>E. 3</w:t>
      </w:r>
    </w:p>
    <w:p>
      <w:r>
        <w:t>Ribadita la natura fiscale del procedimento estero, la ricorrente contesta l’adem- pimento del requisito della doppia punibilità, ritenendo inoltre discutibile la com- petenza dell’autorità rogante.</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Ciò premesso, l'art. 2 lett. a CEAG permette nondimeno di rifiutare l'assistenza giudiziaria segnatamente quando la domanda si riferisce a reati considerati dalla Parte richiesta come reati fiscali. Questo è ribadito all'art. IV par. 2 Accordo italo-svizzero. Secondo l'art. 3 cpv. 3 AIMP, la domanda è irricevibile se il pro- cedimento verte su un reato che sembra volto a una decurtazione di tributi fiscali o viola disposizioni in materia di provvedimenti di politica monetaria, commer- ciale o economica. Per contro, si può dar seguito a una domanda in ambito di "altra assistenza" se il procedimento verte su una truffa in materia fiscale. Que- st'ultima deve essere interpretata sulla base dell'art. 14 cpv. 2 della legge fede- rale sul diritto penale amministrativo (DPA; RS 313.0), disposizione applicabile in virtù del rinvio previsto all'art. 24 cpv. 1 OAIMP. Una truffa fiscale è realizzata se l'autore, mediante inganno astuto, fa sì che l'ente pubblico si trovi defraudato</w:t>
      </w:r>
    </w:p>
    <w:p>
      <w:r>
        <w:t>- 9 -</w:t>
      </w:r>
    </w:p>
    <w:p>
      <w:r>
        <w:t>di una tassa, un contributo o un'altra prestazione o venga a essere altrimenti pregiudicato nei suoi interessi patrimoniali (DTF 125 II 250 consid. 3a). La no- zione d'inganno astuto corrisponde sostanzialmente a quella applicata in ambito di truffa ai sensi dell'art. 146 CP (DTF 126 IV 165 consid. 2a; TPF 2015 110 consid. 5.2.3 con rinvii). Per realizzare il reato di truffa fiscale non è indispensa- bile fare uso di documenti falsi o alterati, ma sono ipotizzabili anche altri metodi.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è ragionevolmente esigibile possono costituire un inganno astuto, come pure se il truffatore dis- suade la vittima dall'effettuare una verifica o prevede, date le circostanze, che essa rinuncerà a farlo in virtù, segnatamente, di un particolare rapporto di fidu- 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t>- 10 -</w:t>
      </w:r>
    </w:p>
    <w:p>
      <w:r>
        <w:rPr>
          <w:b/>
        </w:rPr>
        <w:t>E. 3.2.1</w:t>
      </w:r>
    </w:p>
    <w:p>
      <w:r>
        <w:t>In concreto, l’autorità d’esecuzione ritiene che i fatti oggetto d’inchiesta all’estero siano sussumibili in Svizzera segnatamente ai reati di ricettazione (art. 160 CP) e riciclaggio di denaro (art. 305bis CP).</w:t>
      </w:r>
    </w:p>
    <w:p>
      <w:r>
        <w:rPr>
          <w:b/>
        </w:rPr>
        <w:t>E. 3.2.2</w:t>
      </w:r>
    </w:p>
    <w:p>
      <w:r>
        <w:t>L’art. 160 n. 1 CP prevede che chiunque acquista, riceve in dono o in pegno, occulta o aiuta ad alienare una cosa che sa o deve presumere ottenuta da un terzo mediante un reato contro il patrimonio, è punito con una pena detentiva sino a cinque anni o con una pena pecuniaria. Il ricettatore è punito con la pena comminata al reato preliminare, se questa è più mite. Ove il reato preliminare sia perseguibile solo a querela di parte, la ricettazione è punibile solo se la que- rela è stata sporta. Secondo la cifra 2 della medesima disposizione, il colpevole è punito con una pena detentiva sino a dieci anni o con una pena pecuniaria non inferiore a 90 aliquote giornaliere se fa mestiere della ricettazione.</w:t>
      </w:r>
    </w:p>
    <w:p>
      <w:r>
        <w:t>Giusta l’art. 305bis n. 1 CP, chiunque compie un atto suscettibile di vanificare l’accertamento dell’origine, il ritrovamento o la confisca di valori patrimoniali sa- pendo o dovendo presumere che provengono da un crimine o da un delitto fi- scale qualificato, è punito con una pena detentiva sino a tre anni o con una pena pecuniaria. Sono considerati delitto fiscale qualificato i reati di cui all’articolo 186 della legge federale del 14 dicembre 1990 sull’imposta federale diretta e all’ar- ticolo 59 capoverso 1 primo comma della legge federale del 14 dicembre 1990 sull’armonizzazione delle imposte dirette dei Cantoni e dei Comuni, se le impo- ste sottratte ammontano a oltre 300 000 franchi per periodo fiscale. La cifra 2 di tale norma prevede che nei casi gravi, la pena è una pena detentiva sino a cinque anni o una pena pecuniaria. Con la pena detentiva è cumulata una pena pecuniaria sino a 500 aliquote giornaliere. Vi è caso grave segnatamente se l’autore: agisce come membro di un’organizzazione criminale o terroristica (art. 260ter) (lett. a); agisce come membro di una banda costituitasi per eserci- tare sistematicamente il riciclaggio (lett. b); realizza una grossa cifra d’affari o un guadagno considerevole facendo mestiere del riciclaggio (lett. c). Secondo la cifra 3 della disposizione, l’autore è punibile anche se l’atto principale è stato commesso all’estero, purché costituisca reato anche nel luogo in cui è stato compiuto.</w:t>
      </w:r>
    </w:p>
    <w:p>
      <w:r>
        <w:rPr>
          <w:b/>
        </w:rPr>
        <w:t>E. 3.2.3</w:t>
      </w:r>
    </w:p>
    <w:p>
      <w:r>
        <w:t>Come già indicato in precedenza (v. supra consid. 2.2), l’autorità rogante af- ferma che, nonostante il Governo centrale iracheno, unica autorità riconosciuta dalla comunità internazionale, non abbia più autorizzato il Kurdistan Regional Governement a commerciare petrolio, quest’ultimo avrebbe continuato a ven- dere autonomamente del greggio, precisando anche che le stesse aree estrat- tive, per un certo periodo, sarebbero inoltre state sotto il controllo delle milizie dello stato islamico. Ora, per quanto riguarda la sottrazione del greggio in pa- rola, risulta senz’altro ipotizzabile il reato di furto ai sensi dell’art. 139 CP, il</w:t>
      </w:r>
    </w:p>
    <w:p>
      <w:r>
        <w:t>- 11 -</w:t>
      </w:r>
    </w:p>
    <w:p>
      <w:r>
        <w:t>quale punisce chiunque, per procacciare a sé o ad altri un indebito profitto, sot- trae al fine di appropriarsene una cosa mobile altrui: il greggio è una cosa mo- bile e la sottrazione dello stesso da parte del Kurdistan Regional Government, finalizzata alla rivendita in Italia, sarebbe intervenuta mediante rottura del pos- sesso ai danni del Governo centrale iracheno (v. DUPUIS/MOREILLON/ PIGUET/BERGER/MAZOU/RODIGARI, Code pénal, Petit Commentaire, 2a ediz. 2017, n. 7 e segg. ad art. 139 CP nonché n. 11 e segg. alle osservazioni preli- minari agli art. 137 e segg. CP; PAPAUX, Commentario romando, 2017, n. 6 e segg. ad art. 139 CP; NIGGLI/RIEDO, Commentario basilese, 4a ediz. 2019, n. 14 e segg. ad art. 139 CP; DTF 132 IV 110 consid. 2.1; 115 IV 106 consid. 1c/aa; 112 IV 11 consid. 2a). Il susseguente acquisto del petrolio in questione da parte di terzi può quindi essere considerato un atto di ricettazione e i flussi di denaro legati a tali traffici possono di conseguenza costituire atti di riciclaggio di denaro. Sindacare i dettagli relativi ai rapporti costituzionali tra governo cen- trale e governo regionale compete per contro al giudice estero del merito e non al giudice dell’assistenza. La questione non merita dunque ulteriore disamina in questa sede.</w:t>
      </w:r>
    </w:p>
    <w:p>
      <w:r>
        <w:rPr>
          <w:b/>
        </w:rPr>
        <w:t>E. 3.2.4</w:t>
      </w:r>
    </w:p>
    <w:p>
      <w:r>
        <w:t>In definitiva, nella misura in cui l’autorità rogante sospetta che F. S.p.A. abbia acquistato, con l’aiuto della ricorrente, petrolio dal Kurdistan Regional Govern- ment, autorità non autorizzata all’uopo, sottraendo il greggio al Governo cen- trale iracheno, i fatti contestati agli indagati possono perlomeno essere sussunti ai reati di ricettazione (art. 160 CP) e riciclaggio di denaro (art. 305bis CP), per cui la doppia punibilità è ossequiata già solo per tali motivi. Inoltre, avendo la predetta società la sua sede a Z., in provincia di […], non si intravvedono criticità riguardanti la competenza dell’autorità inquirente estera. Alla luce dell’esposto dei fatti presentato dall’autorità rogante, non vi è infine nessuna ragione di rite- nere che la rogatoria abbia come scopo il perseguimento di reati fiscali. Le cen- sure in questo ambito vanno dunque tutte disattese.</w:t>
      </w:r>
    </w:p>
    <w:p>
      <w:r>
        <w:rPr>
          <w:b/>
        </w:rPr>
        <w:t>E. 4</w:t>
      </w:r>
    </w:p>
    <w:p>
      <w:r>
        <w:t>La ricorrente afferma infine che la decisione impugnata violerebbe il principio della proporzionalità e che la rogatoria estera costituirebbe una fishing expedi- tion. A suo avviso, la documentazione litigiosa non sarebbe idonea a far pro- gredire le indagini estere, dato che la stessa non potrebbe permettere all’auto- rità rogante di determinare se la vendita di petrolio da parte del Governo regio- nale del Kurdistan sia legittima o meno. I flussi finanziari non potrebbero fornire alcuna risposta in tal senso, ma permetterebbero alle autorità estere di assu- mere informazioni riservate in merito al gruppo svizzero A.</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w:t>
      </w:r>
    </w:p>
    <w:p>
      <w:r>
        <w:t>- 12 -</w:t>
      </w:r>
    </w:p>
    <w:p>
      <w:r>
        <w:t>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può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w:t>
      </w:r>
    </w:p>
    <w:p>
      <w:r>
        <w:t>- 13 -</w:t>
      </w:r>
    </w:p>
    <w:p>
      <w:r>
        <w:t>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In concreto, l’utilità potenziale della documentazione litigiosa è certamente data, già solo per il fatto che la ricorrente è indagata nel procedimento estero, come indagate sono diverse persone attive presso di lei (v. rogatoria del 13 agosto 2018, pag. 1 e seg., in rubrica 1 incarto MPC). Il MPC ha del resto indicato nella decisione impugnata svariate operazioni che hanno toccato il conto litigioso in- testato alla ricorrente, per il quale l’indagata B. dispone di una procura. Dalla documentazione analizzata, è emerso che la relazione in questione è stata og- getto il 28 maggio 2014 di un accredito di USD 70'562'622.30 proveniente dal conto n. 2 intestato a M. Ltd presso la banca G., società anch’essa coinvolta nelle indagini italiane. La relazione della ricorrente è stata inoltre oggetto il 10 e il 19 novembre 2014 di addebiti di USD 8'000'025.98, USD 2'000'025.98 e USD 6'700'025.98, tutti a favore del conto n. IBAN no. 3 intestato a I. Limited presso banca K. di Monaco, società riconducibile all’indagata B., nonché il 6 lu- glio 2015 di un accredito di USD 13'571'795.87 proveniente dal conto IBAN no. 4 intestato alla società F. S.p.A. (v. act. 1.2, pag. 5). Punti di contatto con- creti con i fatti oggetto del procedimento estero sono quindi dati e le autorità estere devono potere analizzare tutta la documentazione litigiosa, al fine di ri- costruire tutti i flussi di denaro intercorsi tra i conti riconducibili agli indagati o ad altre entità toccate dai fatti investigati. Alla luce di ciò non è nemmeno possibile limitare temporalmente la sua estensione nei termini di cui nella richiesta in via</w:t>
      </w:r>
    </w:p>
    <w:p>
      <w:r>
        <w:t>- 14 -</w:t>
      </w:r>
    </w:p>
    <w:p>
      <w:r>
        <w:t>subordinata, perché questo significherebbe privare in maniera arbitraria le au- torità estere di documentazione potenzialmente utile per la loro inchiesta.</w:t>
      </w:r>
    </w:p>
    <w:p>
      <w:r>
        <w:t>Spetterà comunque al giudice estero valutare se dalla documentazione inoltrata emerge in concreto una connessione penalmente rilevante fra i fatti oggetto della procedura penale in Italia e detta documentazione. Alla luce della do- manda rogatoriale e dei complementi risulta che tutta la documentazione liti- giosa è potenzialmente utile per l’inchiesta, motivo per cui la sua trasmissione rispetta il principio della proporzionalità e non costituisce una ricerca esplorativa e indiscriminata di prove.</w:t>
      </w:r>
    </w:p>
    <w:p>
      <w:r>
        <w:rPr>
          <w:b/>
        </w:rPr>
        <w:t>E. 5</w:t>
      </w:r>
    </w:p>
    <w:p>
      <w:r>
        <w:t>In conclusione, il ricorso va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