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RR.2021.167 vom 27. Oktober 2021</w:t>
      </w:r>
    </w:p>
    <w:p>
      <w:r>
        <w:t>Bundesstrafgericht, 2021-10-27, FR</w:t>
      </w:r>
    </w:p>
    <w:p>
      <w:r>
        <w:rPr>
          <w:b/>
        </w:rPr>
        <w:t xml:space="preserve">Quelle: </w:t>
      </w:r>
      <w:r>
        <w:t>https://mcp.opencaselaw.ch/entscheid/bstger_RR.2021.167</w:t>
      </w:r>
    </w:p>
    <w:p>
      <w:r>
        <w:t>FR: TPF RR.2021.167 du 27 octobre 2021</w:t>
      </w:r>
    </w:p>
    <w:p>
      <w:r>
        <w:t>IT: TPF RR.2021.167 del 27 ottobre 2021</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dudit traité (LTEJUS; RS 351.93). 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 céans, la décision de l’OFJ-USA relative à la clôture de la procédure d’entraide et, conjointement, les décisions incidentes antérieures de l’autorité d’exécution.</w:t>
      </w:r>
    </w:p>
    <w:p>
      <w:r>
        <w:rPr>
          <w:b/>
        </w:rPr>
        <w:t>E. 1.3</w:t>
      </w:r>
    </w:p>
    <w:p>
      <w:r>
        <w:t>Interjeté dans le délai de 30 jours dès la notification de la décision entreprise (art. 17c LTEJUS), le recours a été déposé en temps utile.</w:t>
      </w:r>
    </w:p>
    <w:p>
      <w:r>
        <w:rPr>
          <w:b/>
        </w:rPr>
        <w:t>E. 1.4.1</w:t>
      </w:r>
    </w:p>
    <w:p>
      <w:r>
        <w:t>Conformément à l’art. 17a LTEJUS, la qualité pour recourir est reconnue à quiconque est personnellement et directement touché par une mesure d’entraide et a un intérêt digne de protection à ce qu’elle soit annulée ou modifiée.</w:t>
      </w:r>
    </w:p>
    <w:p>
      <w:r>
        <w:t>Aux termes de l’art. 9a let. a OEIMP, est notamment réputé personnellement et directement touché, en cas d'informations sur un compte, le titulaire du compte dont les documents font l'objet de la décision de clôture.</w:t>
      </w:r>
    </w:p>
    <w:p>
      <w:r>
        <w:t>- 4 -</w:t>
      </w:r>
    </w:p>
    <w:p>
      <w:r>
        <w:rPr>
          <w:b/>
        </w:rPr>
        <w:t>E. 1.4.2</w:t>
      </w:r>
    </w:p>
    <w:p>
      <w:r>
        <w:t>En l’espèce, A. Ltd. est le titulaire du compte n° 1 ouvert auprès de la banque E.</w:t>
      </w:r>
    </w:p>
    <w:p>
      <w:r>
        <w:rPr>
          <w:b/>
        </w:rPr>
        <w:t>E. 1.4.3</w:t>
      </w:r>
    </w:p>
    <w:p>
      <w:r>
        <w:t>Il s’ensuit que la recourante dispose de la qualité pour recourir.</w:t>
      </w:r>
    </w:p>
    <w:p>
      <w:r>
        <w:rPr>
          <w:b/>
        </w:rPr>
        <w:t>E. 1.5</w:t>
      </w:r>
    </w:p>
    <w:p>
      <w:r>
        <w:t>Compte tenu de ce qui précède, le recours est recevable et il y a lieu d’entrer en matière.</w:t>
      </w:r>
    </w:p>
    <w:p>
      <w:r>
        <w:rPr>
          <w:b/>
        </w:rPr>
        <w:t>E. 2</w:t>
      </w:r>
    </w:p>
    <w:p>
      <w:r>
        <w:t>Le litige porte sur la question de savoir si l’OFJ-USA a ordonné à juste titre la transmission à l’autorité requérante de la documentation bancaire relative au compte n° 1 ouvert au nom de la recourante auprès de la banque E. pour la période allant du 5 mars 2014 au 5 novembre 2020 (act. 1.18).</w:t>
      </w:r>
    </w:p>
    <w:p>
      <w:r>
        <w:t>La recourante se prévaut d’une violation du principe de la proportionnalité, respectivement de celui de l’utilité potentielle. A l’appui de son grief, elle allègue qu’une telle utilité s’agissant de la documentation bancaire relative au compte précité fait défaut, dès lors (1) que l’implication de la société F. Ltd. dans le schéma délictueux objet de l’enquête américaine, sur laquelle se serait appuyé l’OFJ-USA pour rendre sa décision de clôture, serait le fruit d’une maladresse de l’U.S. Department of Justice, (2) que l’ayant droit économique du compte bancaire en cause, C., ne serait pas visé par l’enquête menée par les autorités pénales américaines et disposerait dans ce cadre du statut de témoin coopérant et (3) qu’il n’existerait aucun lien de connexité entre la documentation bancaire requise et les faits sous enquête puisque ledit compte n’aurait pas servi à la commission des infractions reprochées dans l’Etat requérant (act. 1, p. 16-18).</w:t>
      </w:r>
    </w:p>
    <w:p>
      <w:r>
        <w:rPr>
          <w:b/>
        </w:rPr>
        <w:t>E. 2.1.1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w:t>
      </w:r>
    </w:p>
    <w:p>
      <w:r>
        <w:t>- 5 -</w:t>
      </w:r>
    </w:p>
    <w:p>
      <w:r>
        <w:t>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(arrêt du Tribunal pénal fédéral RR.2020.31 du 14 octobre 2020 consid. 3.3 et la jurisprudence citée).</w:t>
      </w:r>
    </w:p>
    <w:p>
      <w:r>
        <w:rPr>
          <w:b/>
        </w:rPr>
        <w:t>E. 2.1.2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La coopération judiciaire internationale en matière pénale, 5e éd. 2019, n. 723, p. 798-801).</w:t>
      </w:r>
    </w:p>
    <w:p>
      <w:r>
        <w:t>- 6 -</w:t>
      </w:r>
    </w:p>
    <w:p>
      <w:r>
        <w:rPr>
          <w:b/>
        </w:rPr>
        <w:t>E. 2.1.3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2.1.4</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rPr>
          <w:b/>
        </w:rPr>
        <w:t>E. 2.2</w:t>
      </w:r>
    </w:p>
    <w:p>
      <w:r>
        <w:t>En l’espèce, les autorités américaines enquêtent sur des actes qui, transposés en droit suisse, correspondent aux infractions d’escroquerie (art. 146 CP) et de blanchiment d’argent (art. 305bis CP). A cet égard, ces dernières ont expressément requis la transmission des informations relatives à tout compte en rapport avec les sociétés que contrôlerait B., soit notamment D. Ltd. et A. Ltd., et ouvert auprès de la banque E. en précisant la période souhaitée, à savoir de mars 2009 à octobre 2020, ainsi que les numéros de comptes y relatifs. Il ressort en substance de la demande d’entraide que les fonds liés aux comportements frauduleux reprochés à B. et C. auraient été transférés sur le compte ouvert au nom de D. Ltd. auprès de la banque G., dont une partie des valeurs patrimoniales, soit USD 125 mio, aurait ensuite été versée sur le compte n° 2 ouvert au nom de cette même société auprès de la banque E. et dont C. est l’ayant droit économique. Les autorités étrangères ont à ce</w:t>
      </w:r>
    </w:p>
    <w:p>
      <w:r>
        <w:t>- 7 -</w:t>
      </w:r>
    </w:p>
    <w:p>
      <w:r>
        <w:t>propos constaté que C., œuvrant en tant que prête-nom, avait ouvert ledit compte n° 2 sur demande de B., qui en avait en réalité le contrôle. Celui-ci aurait en outre requis de C. qu’il ouvre également des comptes bancaires pour ses autres sociétés offshores, soit, notamment, A. Ltd. C’est ainsi que le compte litigieux a été ouvert auprès de la même banque suisse sous la référence n° 1. Selon les déclarations de C., alors entendu en tant que témoin coopérant par les autorités américaines, B. lui aurait en outre demandé d’effectuer des transferts d’argent entre les différents comptes ouverts auprès de la banque E. et pour lesquels il est l’ayant droit économique (v. act. 1.8, p. 11-14). De toute évidence, et indépendamment de la question du statut de C. dans le cadre de la procédure américaine de même que d’une éventuelle implication de A. Ltd. s’agissant des faits sous enquête (v. supra, consid. 2.1.4), les documents bancaires requis permettent de tracer la source et l'utilisation des fonds qui sont passés sur le compte litigieux et de confirmer ou infirmer des éléments révélés par l'enquête américaine, notamment suite aux déclarations précitées de C. s’agissant des transferts de valeurs entre les comptes ouverts auprès de la banque E. Lesdits documents permettent ainsi de vérifier si des fonds d’origine délictueuse ont ou non transité par le compte litigieux. A cet égard, il sied de rappeler que lorsque la demande vise à éclaircir le cheminement de tels fonds – comme c'est le cas en l'espèce – il se justifie en principe d'informer l'Etat requérant de toutes les transactions opérées au nom des entités concernées (v. supra, consid. 2.1.3). La transmission d’une documentation aussi complète que possible, comprenant également les informations relatives à la relation d’affaires liée à la recourante, permet au demeurant d’éviter une éventuelle demande d’entraide complémentaire, étant rappelé qu’il ne s’agit pas uniquement d’aider l’Etat requérant à prouver des faits qu’il a déjà découverts, mais également d’en dévoiler d’autres, s’ils existent (v. supra, consid. 2.1.2). Par ailleurs, bien que l’on ne puisse exclure que le compte bancaire litigieux n’ait pas servi à recevoir le produit de l’infraction ou à blanchir des fonds, l’autorité requérante n’en dispose pas moins d’un intérêt à pouvoir le vérifier elle-même, sur le vu d’une documentation complète, puisque, comme développé supra¸ l'entraide vise non seulement à recueillir des preuves à charge mais également à décharge (v. supra, consid. 2.1.1 in fine). Force est par conséquent de retenir qu’il existe en l’espèce un lien de connexité suffisant entre les faits poursuivis par l’Etat requérant et le compte bancaire ouvert au nom de la recourante et que dès lors les documents y relatifs sont propres à faire avancer l’enquête. La Cour de céans relève enfin que la question quant à la prétendue</w:t>
      </w:r>
    </w:p>
    <w:p>
      <w:r>
        <w:t>- 8 -</w:t>
      </w:r>
    </w:p>
    <w:p>
      <w:r>
        <w:t>maladresse de l’U.S. Department of Justice s’agissant de l’implication de la société F. Ltd. dans le schéma délictueux objet de l’enquête américaine peut être laissée ouverte dès lors que ce motif ne saurait renverser la conclusion d’espèce quant au caractère potentiellement utile des documents bancaires en cause.</w:t>
      </w:r>
    </w:p>
    <w:p>
      <w:r>
        <w:rPr>
          <w:b/>
        </w:rPr>
        <w:t>E. 2.3</w:t>
      </w:r>
    </w:p>
    <w:p>
      <w:r>
        <w:t>Au vu de ce qui précède, le grief tiré de la violation du principe de la proportionnalité, respectivement de celui de l’utilité potentielle, se révèle mal fondé et doit, partant, être rejeté.</w:t>
      </w:r>
    </w:p>
    <w:p>
      <w:r>
        <w:rPr>
          <w:b/>
        </w:rPr>
        <w:t>E. 3</w:t>
      </w:r>
    </w:p>
    <w:p>
      <w:r>
        <w:t>Les considérations développées dans le cadre du présent arrêt conduisent au rejet du recours.</w:t>
      </w:r>
    </w:p>
    <w:p>
      <w:r>
        <w:rPr>
          <w:b/>
        </w:rPr>
        <w:t>E. 4.1</w:t>
      </w:r>
    </w:p>
    <w:p>
      <w:r>
        <w:t>Les frais de procédure, comprenant l'émolument d'arrêté,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 Le montant de l'émolument est calculé en fonction de l'ampleur et de la difficulté de la cause, de la façon de procéder des parties, de leur situation financière et des frais de chancellerie (art. 73 al. 2 LOAP).</w:t>
      </w:r>
    </w:p>
    <w:p>
      <w:r>
        <w:rPr>
          <w:b/>
        </w:rPr>
        <w:t>E. 4.2</w:t>
      </w:r>
    </w:p>
    <w:p>
      <w:r>
        <w:t>En tant que partie qui succombe à la présente procédure, la recourante supportera les frais du présent arrêt, ascendant à CHF 5'000.--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