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RR.2021.163 vom 7. September 2021</w:t>
      </w:r>
    </w:p>
    <w:p>
      <w:r>
        <w:t>Bundesstrafgericht, 2021-09-07, FR</w:t>
      </w:r>
    </w:p>
    <w:p>
      <w:r>
        <w:rPr>
          <w:b/>
        </w:rPr>
        <w:t xml:space="preserve">Quelle: </w:t>
      </w:r>
      <w:r>
        <w:t>https://mcp.opencaselaw.ch/entscheid/bstger_RR.2021.163</w:t>
      </w:r>
    </w:p>
    <w:p>
      <w:r>
        <w:t>FR: TPF RR.2021.163 du 7 septembre 2021</w:t>
      </w:r>
    </w:p>
    <w:p>
      <w:r>
        <w:t>IT: TPF RR.2021.163 del 7 settembre 2021</w:t>
      </w:r>
    </w:p>
    <w:p>
      <w:pPr>
        <w:pStyle w:val="Heading2"/>
      </w:pPr>
      <w:r>
        <w:t>Regeste</w:t>
      </w:r>
    </w:p>
    <w:p>
      <w:r>
        <w:t>Entraide judiciaire internationale en matière pénale aux Pays-Bas; Saisie de valeurs (art. 80e al. 2 let. a EIMP)</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w:t>
      </w:r>
    </w:p>
    <w:p>
      <w:r>
        <w:t>- 3 -</w:t>
      </w:r>
    </w:p>
    <w:p>
      <w:r>
        <w:t>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s’appliquent également les art. 43ss de la Convention des Nations Unies contre la corruption (UNCAC; RS 311.56) en lien avec les art. 14 et 23 UNCAC relatifs au blanchiment d’argent en général; pour le surplus,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 le délai de recours contre une décision incidente est de dix jours dès la communication écrite de celle-ci (art. 80k EIMP); déposé à un bureau de poste suisse le 9 août 2021, le recours dirigé contre la décision reçue le 30 juillet 2021 l'a été en temps utile; à teneur de l'art. 80h let. b EIMP, a qualité pour recourir quiconque est personnellement et directement touché par une mesure d'entraide et a un intérêt digne de protection à ce qu'elle soit annulée ou modifiée; cette disposition est à interpréter en ce sens que la personne – physique ou morale – qui doit se soumettre personnellement à une perquisition ou à un séquestre d’objets ou de valeurs a en principe la qualité pour agir, au regard de l’art. 80h let. b EIMP (arrêt du Tribunal pénal fédéral RR.2010.32 du 17 mars 2010 consid. 3.2.1 et références citées); en outre, en application de</w:t>
      </w:r>
    </w:p>
    <w:p>
      <w:r>
        <w:t>- 4 -</w:t>
      </w:r>
    </w:p>
    <w:p>
      <w:r>
        <w:t>l'art. 9a let. c OEIMP, en cas de mesures concernant un véhicule à moteur, seul le détenteur est habilité à recourir (arrêt du Tribunal fédéral 1A.229/2000 du 3 octobre 2000 consid. 2d/bb); les recourants, détenteurs et utilisateurs des véhicules concernés ainsi que des pièces d’or saisies disposent de la qualité pour agir; à teneur de l’art. 80e al. 2 EIMP, les décisions incidentes antérieures à la décision de clôture ne sont attaquables séparément qu'en cas de préjudice immédiat et irréparable découlant de la saisie d'objets ou de valeurs (let. a);</w:t>
      </w:r>
    </w:p>
    <w:p>
      <w:r>
        <w:t>la notion de préjudice immédiat et irréparable au sens de l’art. 80e al. 2 EIMP doit être interprétée de manière restrictive (arrêts du Tribunal pénal fédéral RR.2018.90-92 du 29 mars 2018; RR.2007.131 du 27 novembre 2007 consid. 2.1 et la jurisprudence citée);</w:t>
      </w:r>
    </w:p>
    <w:p>
      <w:r>
        <w:t>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doit être immédiat c’est-à-dire imparable (ZIMMERMANN, La coopération judiciaire en matière pénale, 5e éd. 2019, no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w:t>
      </w:r>
    </w:p>
    <w:p>
      <w:r>
        <w:t>- 5 -</w:t>
      </w:r>
    </w:p>
    <w:p>
      <w:r>
        <w:t>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en l’espèce, à titre de préjudice immédiat et irréparable, les recourants font valoir le courrier du MP-VD dont il ressort que ce dernier a l’intention de réaliser les actifs séquestrés et leur fixe un délai au 31 août 2021 pour se déterminer à ce sujet alors que la cause n’est pas jugée (act. 1.4);</w:t>
      </w:r>
    </w:p>
    <w:p>
      <w:r>
        <w:t>ce faisant, les recourants ne spécifient cependant pas concrètement quel est le préjudice qu’ils pourraient effectivement subir de cette réalisation, laquelle en l’état ne demeure encore qu’une hypothèse;</w:t>
      </w:r>
    </w:p>
    <w:p>
      <w:r>
        <w:t>ils invoquent certes qu’aucune voiture n’a été laissée à leur libre disposition, toutefois ils auraient dû in primis en faire la demande à l’autorité d’exécution et ne peuvent pour la première fois formuler une telle requête devant l’autorité de céans;</w:t>
      </w:r>
    </w:p>
    <w:p>
      <w:r>
        <w:t>les recourants font valoir une violation de leurs droit d’être entendus au motif que la décision entreprise serait insuffisamment motivée notamment en raison du fait que le type de séquestre prononcé n’y serait pas spécifié;</w:t>
      </w:r>
    </w:p>
    <w:p>
      <w:r>
        <w:t>la jurisprudence a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134 I 83 consid. 4.1 p. 88 et les arrêts cités);</w:t>
      </w:r>
    </w:p>
    <w:p>
      <w:r>
        <w:t>si la décision entreprise ne spécifie effectivement pas quel type de séquestre il s’agit, il faut rappeler qu’elle renvoie à la décision d’entrée en matière laquelle fait pour sa part mention d’une saisie pénale conservatoire (act. 1.1 p. 5);</w:t>
      </w:r>
    </w:p>
    <w:p>
      <w:r>
        <w:t>- 6 -</w:t>
      </w:r>
    </w:p>
    <w:p>
      <w:r>
        <w:t>par ailleurs, les éléments figurant dans la décision querellée même succincts permettent sans autre aux recourants de comprendre sur quelle base et pour quelle raison la mesure de séquestre contestée a été prononcée;</w:t>
      </w:r>
    </w:p>
    <w:p>
      <w:r>
        <w:t>partant, l’autorité d’exécution n’a pas ici violé son obligation de motivation;</w:t>
      </w:r>
    </w:p>
    <w:p>
      <w:r>
        <w:t>les recourants évoquent également une violation du principe de la proportionnalité;</w:t>
      </w:r>
    </w:p>
    <w:p>
      <w:r>
        <w:t>toutefois, vu l’absence d’un préjudice immédiat et irréparable, une telle question ne peut être examinée à ce stade, mais uniquement quant au fond du recours;</w:t>
      </w:r>
    </w:p>
    <w:p>
      <w:r>
        <w:t>il en résulte que leur recours doit être déclaré irrecevable;</w:t>
      </w:r>
    </w:p>
    <w:p>
      <w:r>
        <w:t>au vu de ce qui précède, la Cour de céans a renoncé à procéder à un échange d'écritures (art. 57 al. 1 PA);</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les recourants doivent supporter solidairement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 réputés couverts par l’avance de frais acquittée.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