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RR.2021.161 vom 17. Januar 2022</w:t>
      </w:r>
    </w:p>
    <w:p>
      <w:r>
        <w:t>Bundesstrafgericht, 2022-01-17, IT</w:t>
      </w:r>
    </w:p>
    <w:p>
      <w:r>
        <w:rPr>
          <w:b/>
        </w:rPr>
        <w:t xml:space="preserve">Quelle: </w:t>
      </w:r>
      <w:r>
        <w:t>https://mcp.opencaselaw.ch/entscheid/bstger_RR.2021.161</w:t>
      </w:r>
    </w:p>
    <w:p>
      <w:r>
        <w:t>FR: TPF RR.2021.161 du 17 janvier 2022</w:t>
      </w:r>
    </w:p>
    <w:p>
      <w:r>
        <w:t>IT: TPF RR.2021.161 del 17 gennaio 2022</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w:t>
      </w:r>
    </w:p>
    <w:p>
      <w:r>
        <w:t>- 4 -</w:t>
      </w:r>
    </w:p>
    <w:p>
      <w:r>
        <w:t>pubblicato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art. I n. 2 Accordo italo-svizzero; DTF 142 IV 250 consid. 3; 140 IV 123 consid. 2; 137 IV 33 consid. 2.2.2; 136 IV 82 con- 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consegna di valori patrimo- niali del 1° luglio 2021, il ricorso è ricevibile sotto il profilo degli art. 25 cpv. 1, 80e cpv. 1 e 80k AIMP. Titolare della relazione oggetto della decisione impu- gnata, il ricorrente è legittimato a ricorrere (v. art. 80h lett. b AIMP e art. 9a lett. a OAIMP nonché DTF 137 IV 134 consid. 5.2.1; 130 II 162 consid. 1.1; 128 II 211 consid. 2.3; TPF 2007 79 consid. 1.6 pag. 82).</w:t>
      </w:r>
    </w:p>
    <w:p>
      <w:r>
        <w:rPr>
          <w:b/>
        </w:rPr>
        <w:t>E. 2</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w:t>
      </w:r>
    </w:p>
    <w:p>
      <w:r>
        <w:t>- 5 -</w:t>
      </w:r>
    </w:p>
    <w:p>
      <w:r>
        <w:t>estero, di regola su decisione passata in giudicato ed esecutiva dello Stato richiedente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Nel caso specifico occorre in particolar modo rilevare l’art. VIII dell’Accordo italo-svizzero di analogo contenuto dell’art. 74a AIMP il quale riserva qualsiasi pretesa, che non sia stata soddisfatta o garantita, avan- zata sui beni richiesti da una persona estranea al reato (art. VIII n. 2 Accordo italo-svizzero).</w:t>
      </w:r>
    </w:p>
    <w:p>
      <w:r>
        <w:rPr>
          <w:b/>
        </w:rPr>
        <w:t>E. 3</w:t>
      </w:r>
    </w:p>
    <w:p>
      <w:r>
        <w:t>Il ricorrente censura la violazione del suo diritto di essere sentito e del principio del contraddittorio, nella misura in cui la decisione di confisca dei valori litigiosi è stata emanata nell’ambito di un procedimento penale a carico di G. e altri, senza che gli sia stata data la possibilità, quale intestatario del conto n. 3 presso la banca L., di esprimersi in proposito. Ne deriverebbe una palese violazione dell’art. 6 CEDU.</w:t>
      </w:r>
    </w:p>
    <w:p>
      <w:r>
        <w:rPr>
          <w:b/>
        </w:rPr>
        <w:t>E. 3.1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Ciò è di particolare importanza nelle procedure di estradizione, ma vale di principio ugualmente per le altre forme di assistenza (DTF 130 II 217 consid. 8.1; 129 II</w:t>
      </w:r>
    </w:p>
    <w:p>
      <w:r>
        <w:t>- 6 -</w:t>
      </w:r>
    </w:p>
    <w:p>
      <w:r>
        <w:t>268 consid. 6.1; TPF 2010 56 cosid. 6.3.2).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 dipendenza e l'imparzialità del potere giudiziario. Il giudice dell'assistenza deve dar prova a tal proposito di una prudenza particolare (DTF 130 II 217 con- 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5a ediz. 2019, n. 683 e rinvii).</w:t>
      </w:r>
    </w:p>
    <w:p>
      <w:r>
        <w:rPr>
          <w:b/>
        </w:rPr>
        <w:t>E. 3.2</w:t>
      </w:r>
    </w:p>
    <w:p>
      <w:r>
        <w:t>In concreto, nel complemento rogatoriale del 15 giugno 2020 (pag. 3), la Corte d’appello di Brescia (Sezione II penale) ha affermato che “il Giudice dell'Udienza Preliminare del Tribunale di Brescia, con sentenza in data 14.9.2015, decise con rito abbreviato sulle imputazioni elevate a carico di G. Questi venne giudi- cato colpevole dei seguenti reati: capo 5) art. 5 d.lgv. n. 74 del 2000 per avere, nella sua qualità di gestore di fatto di I. S.r.l. al fine di evadere le imposte sui redditi (per € 1.67.274) e sul valore aggiunto (€ 731.155) omesso di presentare la relativa dichiarazione per l'anno 2008; capo 7) art. 216, I comma, nn. 1 e 2 - 219, I e II comma n. 1 -223, I e II comma n. 2 legge fallimentare per avere in relazione al fallimento di I. S.r.l. distratto beni e attività per complessivi € 2.009.158 nonché per avere distrutto od occultato le scritture contabili di detta società; capo 9) art. 5 d.lgv. n. 74 del 2000 per avere, nella sua qualità di gestore di fatto di J. S.r.l. al fine di evadere le imposte sui redditi e sul valore aggiunto, omesso di presentare la relativa dichiarazione per l'anno 2008 (imposte evase: € 3.220.520 sui redditi ed € 1.108.548 sul valore aggiunto) e per l’anno 2009 (imposte evase: € 1.634.745 sui redditi ed € 600.254 sul valore aggiunto); capo 10) art. 10 quater d.lgv. n. 74 del 2000 per avere, nella sua qualità di gestore di fatto di J. S.r.l., mediante la presentazione di moduli F24 recanti crediti tributari del tutto inesistenti, illecitamente compensato debiti fiscali e previdenziali così non versato somme dovute per l'anno 2009 per complessivi € 324.636,72; capo 25) art. 416 cod. pen. e dunque per avere promosso diretto e organizzato un'as- sociazione per delinquere finalizzata alla consumazione di illeciti fiscali e falli- mentari nonché al riciclaggio dei proventi. G. fu quindi condannato alla pena di anni 5 mesi 6 di reclusione. Il Giudice dell'Udienza Preliminare, con la citata sentenza, dispose, altresì, nei confronti di G. "la confisca di beni, disponibilità finanziarie o cespiti immobiliari di cui abbia la disponibilità fino alla concorrenza di € 1.333.710". Questo importo fu determinato in relazione al profitto personate ricavato da G. dalle condotte illecite di cui ai capi 5, 9 e 10 e dunque dai reati fiscali. La Corte di appello di Brescia, con sentenza in data 16 gennaio 2017, assolse G. dal delitto di associazione per delinquere (capo 25), rideterminò la</w:t>
      </w:r>
    </w:p>
    <w:p>
      <w:r>
        <w:t>- 7 -</w:t>
      </w:r>
    </w:p>
    <w:p>
      <w:r>
        <w:t>pena allo stesso inflitta in anni 5 mesi 5 giorni 23 di reclusione, confermò nel resto la sentenza di primo grado e dunque anche la statuizione relativa alla confisca. La sentenza è passata in giudicato il 9 ottobre 2018 (la Suprema Corte di cassazione ha accolto il ricorso di G. soltanto con riferimento alla misura della pena – infatti rideterminata in anni quattro, mesi otto e giorni venti di reclusione – dichiarandolo inammissibile per il resto). Tanto premesso, al fine di poter dare esecuzione al provvedimento di confisca disposto con le citate sentenze e di- venuto definitivo, la Corte di appello di Brescia, quale giudice dell'esecuzione competente ai sensi dell'art. 665, II comma, cod. proc. pen. chiede assistenza giudiziaria, ai sensi delle convenzioni e degli accordi citati in epigrafe, perché l’Autorità della Confederazione svizzera dia corso alla confisca stessa delle somme già sottoposte a sequestro fino alla concorrenza di € 1.333.710”. Dopo aver presentato una breve sintesi dei fatti alla base della vicenda e indicato le norme italiane applicate (v. pag. 3 e segg.), la Corte d’appello di Brescia con- clude affermando che “in definitiva, il provvedimento di confisca di cui si chiede, a mezzo della presente rogatoria, l'esecuzione è relativo a fondi che, anche se intestati ad altri soggetti, costituiscono il provento dei reati commessi da G. nell'ambito del fraudolento sistema delineato nelle sentenze di condanna e che è stato fatto confluire, mediante la complicità della moglie F., sui conti attual- mente in sequestro” (pag. 8).</w:t>
      </w:r>
    </w:p>
    <w:p>
      <w:r>
        <w:t>Ora, nella misura in cui la confisca dei valori litigiosi è stata pronunciata nell’am- bito di un procedimento a carico di G. e altri e che A., intestatario del conto sul quale detti valori sono depositati, è stato giudicato separatamente dai predetti, vi è da chiedersi se lo stesso abbia potuto esprimersi in proposito, in ossequio al suo diritto di essere sentito e nel rispetto quindi dell’art. 2 lett. a AIMP richia- mati gli art. 6 e 7 CEDU (v. sentenza del 28 giugno 2018 nella causa G.I.E.M. S.r.l. e altri contro Italia, n. 274; v. del resto anche, per quanto riguarda il diritto svizzero, DTF 121 IV 365 consid. 7c, sentenza del Tribunale penale federale RR.2016.181 del 23 dicembre 2016 consid. 2.2 nonché HIRSIG-VOUILLOZ, Com- mentario romando, 2a ediz. 2021, n. 43 ad art. 70 CP). Contrariamente a quanto affermato dall’UFG, un’eventuale violazione non può evidentemente essere sa- nata dinanzi al giudice dell’assistenza, il quale non ha potere giurisdizionale sul merito della procedura estera, ma deve semplicemente sindacare (dall’esterno) se la procedura di confisca all’estero è o meno conforme agli standard della CEDU e del Patto ONU II. Non essendo chiaro, sulla base degli atti dell’incarto, se e in che maniera A. sia stato coinvolto nella procedura di confisca dei valori litigiosi, occorre interpellare all’uopo l’autorità rogante, ciò tenuto anche conto che i valori in questione sono attualmente oggetto di sequestro rogatoriale an- che nell’ambito di un procedimento penale condotto dalla Procura di Bergamo a carico di A. per titolo di riciclaggio di denaro che l’autorità sospetta essere legato alla vicenda sopra descritta. Sarà utile in particolare chiarire la posizione processuale del predetto e segnatamente se egli è stato messo a conoscenza</w:t>
      </w:r>
    </w:p>
    <w:p>
      <w:r>
        <w:t>- 8 -</w:t>
      </w:r>
    </w:p>
    <w:p>
      <w:r>
        <w:t>della procedura di confisca in questione e, in caso affermativo, quali passi ha eventualmente intrapreso o potrà intraprendere per opporsi alla misura.</w:t>
      </w:r>
    </w:p>
    <w:p>
      <w:r>
        <w:rPr>
          <w:b/>
        </w:rPr>
        <w:t>E. 3.3</w:t>
      </w:r>
    </w:p>
    <w:p>
      <w:r>
        <w:t>Il MPC dovrà pertanto interpellare l’autorità rogante affinché fornisca i necessari chiarimenti. Sulla base di quest’ultimi, l’autorità d’esecuzione statuirà nuova- mente. Va da sé che il sequestro è nel frattempo mantenuto conformemente all’art. 33a OAIMP. Alla luce di quanto precede, non occorre chinarsi sulle altre censure presentate dal ricorrente.</w:t>
      </w:r>
    </w:p>
    <w:p>
      <w:r>
        <w:rPr>
          <w:b/>
        </w:rPr>
        <w:t>E. 4</w:t>
      </w:r>
    </w:p>
    <w:p>
      <w:r>
        <w:t>In conclusione, il ricorso va accolto e la causa rinviata al MPC affinché proceda come sopra indicato.</w:t>
      </w:r>
    </w:p>
    <w:p>
      <w:r>
        <w:rPr>
          <w:b/>
        </w:rPr>
        <w:t>E. 5.1</w:t>
      </w:r>
    </w:p>
    <w:p>
      <w:r>
        <w:t>Visto l'esito della procedura, non si riscuote tassa di giustizia (art. 63 cpv. 2 PA richiamato l'art. 39 cpv. 2 lett. b LOAP). La cassa del Tribunale penale federale restituirà al ricorrente l'anticipo delle spese già pervenuto pari a fr. 5'000.–.</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2'000.–. L'indennità è messa a carico del Ministero pubblico della Confederazione in quanto autorità inferiore giusta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