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RR.2021.148 vom 2. Dezember 2021</w:t>
      </w:r>
    </w:p>
    <w:p>
      <w:r>
        <w:t>Bundesstrafgericht, 2021-12-02, IT</w:t>
      </w:r>
    </w:p>
    <w:p>
      <w:r>
        <w:rPr>
          <w:b/>
        </w:rPr>
        <w:t xml:space="preserve">Quelle: </w:t>
      </w:r>
      <w:r>
        <w:t>https://mcp.opencaselaw.ch/entscheid/bstger_RR.2021.148</w:t>
      </w:r>
    </w:p>
    <w:p>
      <w:r>
        <w:t>FR: TPF RR.2021.148 du 2 décembre 2021</w:t>
      </w:r>
    </w:p>
    <w:p>
      <w:r>
        <w:t>IT: TPF RR.2021.148 del 2 dicembre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pubblicato nella RS ma consultabile sulla piattaforma di pubblicazione Internet della Confederazione alla voce “Raccolta dei testi giuridici riguardanti gli accordi bilaterali”,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t>- 5 -</w:t>
      </w:r>
    </w:p>
    <w:p>
      <w:r>
        <w:rPr>
          <w:b/>
        </w:rPr>
        <w:t>E. 2</w:t>
      </w:r>
    </w:p>
    <w:p>
      <w:r>
        <w:t>La ricorrente censura innanzitutto l’avvenuta trasmissione diretta della rogatoria da parte della Parte richiedente alla Parte richiesta.</w:t>
      </w:r>
    </w:p>
    <w:p>
      <w:r>
        <w:rPr>
          <w:b/>
        </w:rPr>
        <w:t>E. 2.1</w:t>
      </w:r>
    </w:p>
    <w:p>
      <w:r>
        <w:t>L’art. XVII n. 1 Accordo italo-svizzero prevede che le domande di assistenza giudiziaria, comprese quelle formulate dalle autorità amministrative di cui all’art. II dell’Accordo, possono essere indirizzate direttamente all’autorità com- petente a eseguire il provvedimento relativo all’assistenza e restituite per la stessa via. Sono fatti salvi i casi di cui agli articoli XVIII e XIX dell’Accordo.</w:t>
      </w:r>
    </w:p>
    <w:p>
      <w:r>
        <w:rPr>
          <w:b/>
        </w:rPr>
        <w:t>E. 2.2</w:t>
      </w:r>
    </w:p>
    <w:p>
      <w:r>
        <w:t>In concreto, data la preminenza dell’art. XVII n. 1 Accordo italo-svizzero sull’art. 15 n. 1 CEAG (v. supra consid. 1.2 in fine) e constatato che la rogatoria italiana non concerne i casi previsti agli art. XVIII e XIX Accordo italo-svizzero, la trasmissione diretta della domanda al MP-TI non presta il fianco a critiche. Contrariamente a quanto asserito dalla ricorrente, i reati di natura fiscale og- getto dell’inchiesta estera non presentano la gravità di cui all’art. XVIII Accordo italo-svizzero, il quale menziona in particolare la criminalità organizzata e la cor- ruzione, precisato che il reato di associazione a delinquere, previsto all’art. 416 CP/I, presenta certamente una gravità minore rispetto a quello di associazione di tipo mafioso, di cui all’art. 416-bis CP/I, fatto attestato dalla comminatoria di pena delle due disposizioni. La censura va quindi respinta.</w:t>
      </w:r>
    </w:p>
    <w:p>
      <w:r>
        <w:rPr>
          <w:b/>
        </w:rPr>
        <w:t>E. 3</w:t>
      </w:r>
    </w:p>
    <w:p>
      <w:r>
        <w:t>L’insorgente si duole di una violazione del proprio diritto di essere sentita, non essendo mai stata informata della rogatoria in questione e non essendole mai stata trasmessa la decisione qui impugnata. Pur avendo la stessa la sua sede all’estero, il MP-TI sarebbe stato a conoscenza del fatto che B., suo ammini- stratore unico nonché avente diritto economico della relazione bancaria liti- giosa, è residente in Svizzera, più precisamente a Grono. A suo avviso, l’esi- stenza formale di due persone giuridicamente distinte va ignorata se la buona fede nei rapporti giuridici lo richiede, per cui la decisione impugnata avrebbe dovuto essere notificata al predetto. In definitiva, la ricorrente non avrebbe po- tuto in alcun modo partecipare al procedimento rogatoriale ed esprimersi sulla documentazione oggetto della contestata trasmissione.</w:t>
      </w:r>
    </w:p>
    <w:p>
      <w:r>
        <w:rPr>
          <w:b/>
        </w:rPr>
        <w:t>E. 3.1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 ciò può avere un influsso sulla decisione che verrà resa (DTF 124 II 132 con- sid. 2b e riferimenti citati). Secondo la giurisprudenza, l'autorità di esecuzione, dopo aver concesso al detentore della documentazione la possibilità di addurre i motivi che si opporrebbero alla trasmissione di determinati atti e la facoltà di</w:t>
      </w:r>
    </w:p>
    <w:p>
      <w:r>
        <w:t>- 6 -</w:t>
      </w:r>
    </w:p>
    <w:p>
      <w:r>
        <w:t>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ad ogni singolo documento gli argomenti che secondo loro si opporrebbero alla conse- gna. Questo affinché esse possano esercitare in maniera concreta ed effettiva il loro diritto di essere sentite (v. art. 30 cpv. 1 PA richiamato l'art. 39 cpv. 2 lett. b LOAP), secondo modalità di collaborazione comunque rispettose del prin- cipio della buona fede (art. 5 cpv. 3 Cost.; KRAUSKOPF/EMMENEGGER, Praxi- skommentar VwVG, 2a ediz. 2016, n. 54 ad art. 12 PA). La cernita deve aver luogo anche qualora l'interessato rinunci ad esprimersi (DTF 130 II 14 con- sid. 4.3 e 4.4; 126 II 258 consid. 9b/aa pag. 262; cfr. anche DTF 127 II 151 consid. 4c/aa; ZIMMERMANN, La coopération judiciaire internationale en matière pénale, 5a ediz. 2019, n. 484, 724-725; DE PREUX, L'entraide internationale en matière pénale et la lutte contre le blanchiment d'argent, SJZ 104/2008, n. 2 pag. 34).</w:t>
      </w:r>
    </w:p>
    <w:p>
      <w:r>
        <w:rPr>
          <w:b/>
        </w:rPr>
        <w:t>E. 3.2</w:t>
      </w:r>
    </w:p>
    <w:p>
      <w:r>
        <w:t>Il diritto di essere sentito viene concretizzato nell'ambito dell'assistenza giudi- ziaria internazionale agli art. 29 e segg. PA richiamato l'art. 12 cpv. 1 AIMP (ZIMMERMANN, op. cit., n. 472). Esso è di natura formale (DTF 126 I 19 con- sid. 2d/bb pag. 24; 125 I 113 consid. 3; ALBERTINI, Der verfassungsmässige Anspruch auf rechtliches Gehör im Verwaltungsverfahren des modernen Staa- tes, 2000, pag. 449 con rinvii). Una violazione di questo diritto fondamentale da parte dell'autorità d'esecuzione non comporta comunque automaticamente l'ac- coglimento del gravame e l'annullamento della decisione impugnata. Secondo la giurisprudenza e la dottrina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 tenze del Tribunale federale 1C_525/2008 e 1C_526/2008 del 28 novembre 2008 consid. 1.3 nonché 1A.54/2004 del 30 aprile 2004; TPF 2008 172 con- sid. 2.3; ZIMMERMANN, op. cit., n. 472). Anche in presenza di una violazione grave del diritto di essere sentito, il Tribunale federale ha già ritenuto ammissi- bile prescindere da un rinvio all'autorità inferiore allorquando questo costitui- rebbe una mera formalità, provocando un ritardo inutile nella procedura, incom- patibile con l'interesse della parte interessata ad un'evasione celere della sua causa (DTF 137 I 195 consid. 2.3.2; 133 I 201 consid. 2.2). La riparazione del vizio deve tuttavia, segnatamente in presenza di violazioni particolarmente</w:t>
      </w:r>
    </w:p>
    <w:p>
      <w:r>
        <w:t>- 7 -</w:t>
      </w:r>
    </w:p>
    <w:p>
      <w:r>
        <w:t>gravi, rimanere l'eccezione, non fosse altro perché la concessione successiva del diritto di essere sentito costituisce sovente solo un surrogato imperfetto dell'omessa audizione preventiva. La possibilità della sanatoria, che tiene conto della necessità di un'esecuzione celere della domanda rogatoriale giusta l'art. 17a AIMP e dell'economia procedurale, non deve inoltre essere interpre- tata dall'autorità d'esecuzione come un invito a violare i diritti processuali della persona toccata (sentenza del Tribunale federale 1C_560/2011 del 20 dicem- bre 2011 consid. 2.2). Una riparazione entra in linea di considerazione solo se la persona interessata non abbia a subire pregiudizio dalla concessione suc- cessiva del diritto di essere sentito, rispettivamente dalla sanatoria (DTF 129 I 129 consid. 2.2.3). In nessun caso, comunque, può essere ammesso che l'au- torità pervenga attraverso una violazione del diritto di essere sentito ad un risul- tato che non avrebbe mai ottenuto procedendo in modo corretto (DTF 135 I 279 consid. 2.6.1).</w:t>
      </w:r>
    </w:p>
    <w:p>
      <w:r>
        <w:rPr>
          <w:b/>
        </w:rPr>
        <w:t>E. 3.3</w:t>
      </w:r>
    </w:p>
    <w:p>
      <w:r>
        <w:t>Nella fattispecie, il MP-TI ha comunicato sia la decisione di entrata in materia dell’8 giugno 2021 che la decisione di chiusura del 23 giugno 2021 alla banca H., presso la quale era sita la relazione bancaria intestata alla ricorrente (v. atto 3, pag. 6, incarto MP-TI e act. 1.2, pag. 10). Occorre in proposito ricordare che l'autorità d'esecuzione non notifica le proprie decisioni all'estero (v. art. 80m AIMP; art. 9 OAIMP; sentenza del Tribunale federale 1A.221/2002 del 25 no- vembre 2002 consid. 2.6) per cui in detti casi è sufficiente che la decisione venga intimata all'istituto di credito presso cui era sita la relazione bancaria (v. DTF 136 IV 16 consid. 2.2). In particolare, in presenza di una convenzione di "fermo-banca", la decisione è considerata notificata al cliente a partire dal mo- mento in cui la decisione viene depositata nell'incarto "fermo-banca" (DTF 124 II 124 consid. 2; sentenza del Tribunale federale 1C_345/2009 del 10 settembre 2009 consid. 3.4; sentenza del Tribunale penale federale RR.2011.3 del 21 marzo 2011 consid. 3.2). In simili evenienze, incombe perciò all'istituto ban- cario di rendere attento il cliente alla misura di assistenza non appena ne è venuto a conoscenza.</w:t>
      </w:r>
    </w:p>
    <w:p>
      <w:r>
        <w:t>Nel caso concreto, la ricorrente non ha domicilio in Svizzera ed il conto, per il quale è stato pattuito che tutta la corrispondenza fosse da trasmettere giornal- mente a B. a Lugano (v. documentazione di apertura del conto allegata all’atto 9 incarto MP-TI), è stato estinto il 20 febbraio 2017 (v. atto 9 incarto MP-TI). Alla luce dei principi summenzionati, va dunque considerato che la notifica è avve- nuta al momento in cui la banca H. ha ricevuto le decisioni in questione. Es- sendo trascorsa più di una decina di giorni tra la decisione di entrata in materia e la decisione di chiusura, tale lasso di tempo va ritenuto sufficiente e conforme agli obblighi di celerità giusta l'art. 17a AIMP (v. sentenza del Tribunale penale federale RR.2016.199 del 9 febbraio 2016 consid. 2.2 e riferimenti citati). Do- vendo la banca trasmettere giornalmente tutta la corrispondenza della ricor-</w:t>
      </w:r>
    </w:p>
    <w:p>
      <w:r>
        <w:t>- 8 -</w:t>
      </w:r>
    </w:p>
    <w:p>
      <w:r>
        <w:t>rente a B. a Lugano, non si può che concludere che al momento dell'emana- zione della decisione di chiusura l’insorgente fosse informata dell'esistenza di richieste di misure di assistenza e avesse avuto facoltà di esprimersi durante la procedura di esecuzione della commissione rogatoria in esame. In ogni caso, prima della presentazione del proprio ricorso, nell’ambito della consultazione degli atti del 30 giugno 2021 (v. atto 14 incarto MP-TI), la ricorrente, sebbene in quel momento rappresentata da un altro patrocinatore (v. atto 15 incarto MP- TI), ha avuto la possibilità di consultare la documentazione e di esprimersi com- piutamente sulla medesima. Inoltre, un'eventuale violazione del predetto diritto sarebbe stata comunque sanata dal presente procedimento di ricorso dinanzi ad un'autorità dotata di un pieno potere cognitivo in fatto e in diritto (v. DTF 124 II 132 consid. 2d). Da respingere è parimenti la censura, presentata soltanto in sede di replica (v. act. 13, pag. 5), secondo la quale la decisione impugnata non sarebbe stata adeguatamente motivata. L’atto impugnato, che consta di undici pagine e riprende ampiamente il contenuto della rogatoria, spiega sufficiente- mente i motivi legati alla concessione dell’assistenza, motivi ancora più diffusa- mente riproposti in sede di risposta da parte dell’autorità d’esecuzione (v. act. 8). Che la ricorrente abbia compreso, anche se non condiviso, il contenuto della decisione impugnata è del resto dimostrato dall’articolato atto ricorsuale di se- dici pagine da lei presentato. Le sue censure in questo ambito vanno dunque respinte.</w:t>
      </w:r>
    </w:p>
    <w:p>
      <w:r>
        <w:rPr>
          <w:b/>
        </w:rPr>
        <w:t>E. 4</w:t>
      </w:r>
    </w:p>
    <w:p>
      <w:r>
        <w:t>La ricorrente sostiene che la domanda di assistenza sarebbe generica, incom- pleta e lacunosa. A suo avviso, l’autorità rogante non avrebbe esposto in modo sufficiente le circostanze e i gravi indizi sui quali fonda i propri sospetti. L’espo- sto fattuale non stabilirebbe una relazione concreta, diretta e oggettiva tra i fatti rimproverati agli indagati e gli altri soggetti giuridici implicati, limitandosi a insi- nuare che le società estere, ricettrici di presunti flussi di pagamento erogati dalle società italiane, sarebbero in un qualche modo coinvolte nella presunta rete di operazioni di frode all’erario italiano.</w:t>
      </w:r>
    </w:p>
    <w:p>
      <w:r>
        <w:rPr>
          <w:b/>
        </w:rPr>
        <w:t>E. 4.1</w:t>
      </w:r>
    </w:p>
    <w:p>
      <w:r>
        <w:t>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 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 bligo di provare la commissione del reato, ma solo quello di esporre in modo sufficiente le circostanze sulle quali fonda i propri sospetti, per permettere allo</w:t>
      </w:r>
    </w:p>
    <w:p>
      <w:r>
        <w:t>- 9 -</w:t>
      </w:r>
    </w:p>
    <w:p>
      <w:r>
        <w:t>Stato richiesto di escludere la sussistenza di un'inammissibile ricerca indiscri- minata di prove (v. su questo tema DTF 129 II 97 consid. 3.1; 125 II 65 con- 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4.2</w:t>
      </w:r>
    </w:p>
    <w:p>
      <w:r>
        <w:t>In concreto, richiamato quanto già esposto in precedenza (v. supra Fatti lett. A), nella sua rogatoria l’autorità italiana afferma che il meccanismo fraudolento pre- vede i seguenti passaggi (v. atto 1, pag. 2 e seg., incarto MP-TI):</w:t>
      </w:r>
    </w:p>
    <w:p>
      <w:r>
        <w:t>a) C. S.r.l., D. S.r.l. e E. S.r.l. (ciascuna nel rispettivo periodo di attività) fingono di offrire servizi nel settore del marketing, proponendo ai loro clienti la stipula di contratti di attività promozionale nell’ambito di fiere ed eventi espositivi, riguar- danti svariati settori (pelletteria, artigianato, informatica, alimentare, ecc.); a fronte di tale attività, le società emettono fatture attive, da ritenersi fittizie perché relative ad operazione oggettivamente inesistenti, con lo scopo di consentirne l’evasione d’imposta attraverso la deducibilità di costi inesistenti e l’indebita de- trazione di IVA. La fittizietà dei rapporti tra le società in esame e i clienti nazionali emerge principalmente dalle informazioni acquisite presso gli organizzatori de- gli eventi e i responsabili fieristici presso cui le società avrebbero dovuto ese- guire i servizi pubblicitari fatturati, che hanno invece confermato come nessuna tra C. S.r.l., D. S.r.l. o E. S.r.l. abbia mai allestito un proprio stand per l’effettua- zione di attività promozionale o per la distribuzione di materiale pubblicitario;</w:t>
      </w:r>
    </w:p>
    <w:p>
      <w:r>
        <w:t>b) successivamente, le somme presenti sui conti di C. S.r.l. (o di D. S.r.l. o E. S.r.l., a seconda dei periodi di attività) di cui agli incassi delle fatture attive emesse, vengono distratte mediante transazioni finanziarie eseguite per il pa- gamento di fatture passive (in realtà, sempre relative ad operazioni inesistenti) emesse nei confronti di tali società da parte di fornitori comunitari, mere società cartiere. La fittizietà dei rapporti tra le società in esame e i fornitori comunitari è confermata anche dalle informazioni ricevute dalle competenti Autorità estere, le quali da un lato hanno rappresentato l’inesistenza di una sede effettiva op- pure la non operatività delle società straniere coinvolte e, dall’altro lato, non sono state in grado di confermare l’effettività delle prestazioni oggetto di fattu- razioni passive nei confronti delle società in esame;</w:t>
      </w:r>
    </w:p>
    <w:p>
      <w:r>
        <w:t>c) la rilevante IVA a debito in seno alla C. S.r.l. (o alla D. S.r.l. o E. S.r.l., a seconda dei periodi di attività) derivante dalle fatture di vendita ai clienti nazio- nali, non stornata dall’IVA a credito di cui alle fatture passive verso i fornitori comunitari (vista la neutralità dell’imposta negli acquisti intracomunitari), viene “bilanciata” attraverso l’utilizzo di fatture passive nazionali (sempre relative ad</w:t>
      </w:r>
    </w:p>
    <w:p>
      <w:r>
        <w:t>- 10 -</w:t>
      </w:r>
    </w:p>
    <w:p>
      <w:r>
        <w:t>operazioni inesistenti) con IVA esposta, emesse da società fornitrici italiane, anch’esse mere cartiere. Il mancato pagamento delle fatture passive, a diversi anni dalla cessazione dell’attività per la C. S.r.l. e per la D. S.r.l. e dopo circa un anno e mezzo dal ricevimento delle prime fatture per la E. S.r.l., emerge dall’esame della documentazione bancaria delle tre società e costituisce un forte indice della fittizietà delle operazioni documentate dalle stesse;</w:t>
      </w:r>
    </w:p>
    <w:p>
      <w:r>
        <w:t>d) una volta “riequilibrata” la situazione debitoria dell’IVA, lo squilibrio reddituale generato dai costi di cui alle inesistenti fatture passive nazionali, le quali avreb- bero prodotto a fine esercizio una consistente perdita, viene bilanciato attra- verso una paritetica emissione di fatture attive fittizie verso società estere, non soggette ad IVA in modo da non alterarne la situazione, riequilibrando in tal modo anche la situazione economico-reddituale ed evitando eventuali “allert” da parte degli organi accertatori. Con specifico riferimento al sopra indicato punto b), l’analisi dei flussi finanziari e della documentazione bancaria acquisita presso le banche, con cui C. S.r.l., D. S.r.l. ed E. S.r.l operano, ha permesso di individuare taluni fornitori con sede in UE e taluni conti correnti a cui i fondi sarebbero stati trasferiti con la finalità di far confluire le somme incassate dai clienti italiani (a fronte delle fatture false emesse) attraverso i conti di soggetti UE e successivamente, in ultima istanza, a favore di soggetti extra-UE. In par- ticolare, le indagini finora compiute hanno permesso di appurare che, tra i men- zionati fornitori con sede in UE, vi è la società polacca I. nei cui confronti C. S.r.l. e D. S.r.l. hanno effettuato bonifici per oltre € 5 milioni. Dall’elenco dei rapporti bancari inerenti alla citata società I. (IBAN n. 2) pervenuti dagli Organi Collaterali della Polonia, nonché attraverso i riferimenti desumibili dalle segna- lazioni di operazioni sospette eseguite tramite i predetti rapporti, è stato possi- bile ricostruire che i flussi di pagamenti, per il tramite della predetta società UE, sono poi confluiti, tra le altre, nelle seguenti società aventi conti correnti bancari in Svizzera:</w:t>
      </w:r>
    </w:p>
    <w:p>
      <w:r>
        <w:t>INTESTATARIO IBAN ESTERO IMPORTI (€) A. LTD n. 1 871.630.00 J. SA n. 3 749.700,00 J. SA n. 4 299.800,00</w:t>
      </w:r>
    </w:p>
    <w:p>
      <w:r>
        <w:t>TOTALE 1.921.130,00</w:t>
      </w:r>
    </w:p>
    <w:p>
      <w:r>
        <w:t>- 11 -</w:t>
      </w:r>
    </w:p>
    <w:p>
      <w:r>
        <w:t>Quanto precede soddisfa le esigenze normative e giurisprudenziali in materia di esposto dei fatti. Sufficientemente chiaro risulta parimenti essere il ruolo at- tribuito alla ricorrente nella vicenda. Non spetta del resto al giudice dell’assi- stenza approfondire ulteriormente la fattispecie oggetto d’inchiesta, tantomeno ottenere le prove dei contestati reati. Sarà proprio la documentazione litigiosa a permettere all’autorità estera di progredire nella sua attività investigativa e di acclarare ulteriormente le condotte rimproverate ai soggetti indagati. Le censure in questo ambito vanno dunque respinte.</w:t>
      </w:r>
    </w:p>
    <w:p>
      <w:r>
        <w:rPr>
          <w:b/>
        </w:rPr>
        <w:t>E. 5</w:t>
      </w:r>
    </w:p>
    <w:p>
      <w:r>
        <w:t>La ricorrente afferma che l’autorità rogata non avrebbe sufficientemente appro- fondito e verificato l’esistenza di sufficienti sospetti circa la commissione del reato di truffa in materia fiscale.</w:t>
      </w:r>
    </w:p>
    <w:p>
      <w:r>
        <w:rPr>
          <w:b/>
        </w:rPr>
        <w:t>E. 5.1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 sid. 11b/bb pag. 594). I fatti incriminati non devono forzatamente essere carat- terizzati, nelle due legislazioni toccate, dalla medesima qualificazione giuridica (DTF 124 II 184 consid. 4b/cc pag. 188). Diversamente dall'ambito estradizio- nale, le misure di cooperazione sono già ammesse se la condizione della dop- pia punibilità è ossequiata alla luce di una singola fattispecie (sentenza del Tri- 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w:t>
      </w:r>
    </w:p>
    <w:p>
      <w:r>
        <w:t>- 12 -</w:t>
      </w:r>
    </w:p>
    <w:p>
      <w:r>
        <w:t>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Commentario basilese, 2015, n. 121 e segg. ad art. 3 AIMP; UNSELD, Internationale Rechtshilfe im Steuerrecht: Akzes- sorische Rechtshilfe, Auslieferung und Vollstreckungshilfe bei Fiskaldelikten,</w:t>
      </w:r>
    </w:p>
    <w:p>
      <w:r>
        <w:t>- 13 -</w:t>
      </w:r>
    </w:p>
    <w:p>
      <w:r>
        <w:t>2011, pag. 135, 147 e seg.; sentenza del Tribunale penale federale RR.2010.262 dell’11 giugno 2012 consid. 1.2.2).</w:t>
      </w:r>
    </w:p>
    <w:p>
      <w:r>
        <w:rPr>
          <w:b/>
        </w:rPr>
        <w:t>E. 5.2</w:t>
      </w:r>
    </w:p>
    <w:p>
      <w:r>
        <w:t>Nella fattispecie, nella misura in cui il procedimento estero verte su reati legati all’utilizzo di fatture false finalizzate alla frode fiscale (v. supra Fatti lett. A e consid. 4.2), i fatti contestati agli indagati possono perlomeno essere sussunti ai reati di falsità in documenti (art. 251 CP) e truffa in materia fiscale (art. 14 cpv. 2 DPA), come la giurisprudenza ha del resto già avuto modo di rilevare in questi casi (v. sentenza del Tribunale penale federale RR.2021.4 del 22 aprile 2021 consid. 5). Trattandosi di reati in ambito di imposte indirette ciò è suffi- ciente per ammettere il requisito della doppia punibilità (v. supra consid. 5.1 in fine). La censura in questo ambito va pertanto respinta.</w:t>
      </w:r>
    </w:p>
    <w:p>
      <w:r>
        <w:rPr>
          <w:b/>
        </w:rPr>
        <w:t>E. 6</w:t>
      </w:r>
    </w:p>
    <w:p>
      <w:r>
        <w:t>La ricorrente censura infine la violazione del principio della proporzionalità e del divieto della fishing expedition, nella misura in cui viene trasmessa all’autorità rogante documentazione, riguardante migliaia di operazioni, inutile per il proce- dimento estero. Occorrerebbe in ogni caso garantire la riservatezza dei nomi- nativi di persone e società che nulla avrebbero a che vedere con le indagini italiane. Di conseguenza, si dovrebbe procedere con l’oscuramento di transa- zioni e di nominativi assolutamente non interessati dall’inchiesta, con estromis- sione e/o omissione di tutti i nominativi, dati e operazioni che non concernono la società polacca. L’autorità rogante avrebbe semmai diritto di acquisire i soli riscontri riferibili alle operazioni oggetto del procedimento, ovvero quelle inerenti ai flussi finanziari tra la I. e la ricorrente.</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w:t>
      </w:r>
    </w:p>
    <w:p>
      <w:r>
        <w:t>- 14 -</w:t>
      </w:r>
    </w:p>
    <w:p>
      <w:r>
        <w:t>(DTF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w:t>
      </w:r>
    </w:p>
    <w:p>
      <w:r>
        <w:t>- 15 -</w:t>
      </w:r>
    </w:p>
    <w:p>
      <w:r>
        <w:t>delittuosi sotto la lente degli inquirenti esteri (sentenze del Tribunale penale fe- derale RR.2010.173 del 13 ottobre 2010 consid. 4.2.4/a e RR.2009.320 del 2 febbraio 2010 consid. 4.1; ZIMMERMANN, op. cit., n. 722,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6.2</w:t>
      </w:r>
    </w:p>
    <w:p>
      <w:r>
        <w:t>In concreto, l'utilità potenziale della documentazione litigiosa è certamente data, già solo per il fatto che B., amministratore unico nonché avente diritto econo- mico della ricorrente, è indagato nel procedimento estero. L’analisi della docu- mentazione litigiosa ha inoltre permesso di identificare svariati accrediti a favore del conto litigioso, per importi rilevanti, provenienti dalla società polacca I., per tacere dell’esistenza di ulteriori molteplici operazioni in entrata e in uscita, anche per importi considerevoli, intervenute sul conto della ricorrente (v. act. 8, pag. 8). Vista la natura dei reati contestati, l’autorità rogante deve potere analizzare personalmente tutta la documentazione litigiosa, al fine di ricostruire tutti i flussi di denaro intervenuti tra le entità coinvolte nelle indagini. Non potendo escludere che anche altre persone fisiche e/o giuridiche ancora sconosciute agli inquirenti esteri possano risultare coinvolte nella vicenda, la richiesta di oscuramento pre- sentata dalla ricorrente a titolo subordinato deve essere disattesa.</w:t>
      </w:r>
    </w:p>
    <w:p>
      <w:r>
        <w:t>Spetterà infine al giudice estero del merito chinarsi sulle contestazioni dei fatti e/o reati formulate dalla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7</w:t>
      </w:r>
    </w:p>
    <w:p>
      <w:r>
        <w:t>In conclusione, il ricorso va respinto e la decisione impugnata confermata.</w:t>
      </w:r>
    </w:p>
    <w:p>
      <w:r>
        <w:t>- 16 -</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