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RR.2021.145 vom 4. August 2021</w:t>
      </w:r>
    </w:p>
    <w:p>
      <w:r>
        <w:t>Bundesstrafgericht, 2021-08-04, FR</w:t>
      </w:r>
    </w:p>
    <w:p>
      <w:r>
        <w:rPr>
          <w:b/>
        </w:rPr>
        <w:t xml:space="preserve">Quelle: </w:t>
      </w:r>
      <w:r>
        <w:t>https://mcp.opencaselaw.ch/entscheid/bstger_RR.2021.145</w:t>
      </w:r>
    </w:p>
    <w:p>
      <w:r>
        <w:t>FR: TPF RR.2021.145 du 4 août 2021</w:t>
      </w:r>
    </w:p>
    <w:p>
      <w:r>
        <w:t>IT: TPF RR.2021.145 del 4 agosto 2021</w:t>
      </w:r>
    </w:p>
    <w:p>
      <w:pPr>
        <w:pStyle w:val="Heading2"/>
      </w:pPr>
      <w:r>
        <w:t>Regeste</w:t>
      </w:r>
    </w:p>
    <w:p>
      <w:r>
        <w:t>Entraide judiciaire internationale en matière pénale aux Pays-Bas. Levée des scellés (art. 9 EIMP en lien avec l'art. 248 CPP) effet suspensif (art. 80l EIMP); autres mesures provisionnelles (art. 56 PA); assistance judiciaire gratuite (art. 65 PA).</w:t>
      </w:r>
    </w:p>
    <w:p>
      <w:pPr>
        <w:pStyle w:val="Heading2"/>
      </w:pPr>
      <w:r>
        <w:t>Erwägungen</w:t>
      </w:r>
    </w:p>
    <w:p>
      <w:r>
        <w:rPr>
          <w:b/>
        </w:rPr>
        <w:t>E. 20</w:t>
      </w:r>
    </w:p>
    <w:p>
      <w:r>
        <w:t>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pour le surplus, la loi fédérale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 137 IV 33 consid. 2.2.2), l'application de la norme la plus favorable (principe dit « de faveur ») devant avoir lieu dans le respect des droits fondamentaux (ATF 135 IV 212 consid. 2.3);</w:t>
      </w:r>
    </w:p>
    <w:p>
      <w:r>
        <w:t>- 5 -</w:t>
      </w:r>
    </w:p>
    <w:p>
      <w:r>
        <w:t>la Cour des plaintes du Tribunal pénal fédéral est compétente pour connaître des recours dirigés contre les décisions incidentes antérieures à la décision de clôture de la procédure d’entraide rendues en matière de scellés (art. 37 al. 2 let. a de la loi fédérale sur l’organisation des autorités pénales de la Confédération [LOAP; RS 173.71] cum art. 25 al. 1 et 80e al. 2 EIMP; arrêt du Tribunal fédéral 1B_563/2011, 1B_631/2011, 1B_633/2011 du 16 janvier 2012 consid. 2.3); le délai de recours contre une décision incidente est de dix jours dès la communication écrite de celle-ci (art. 80k EIMP); déposé à un bureau de poste suisse le 22 juillet 2021, le recours dirigé contre la décision reçue le 14 juillet 2021 l'a été en temps utile; à teneur de l'art. 80h let. b EIMP, a qualité pour recourir quiconque est personnellement et directement touché par une mesure d'entraide et a un intérêt digne de protection à ce qu'elle soit annulée ou modifiée; cette disposition est à interpréter en ce sens que la personne – physique ou morale – qui doit se soumettre personnellement à une perquisition ou à un séquestre d’objets ou de valeurs a en principe la qualité pour agir, au regard de l’art. 80h let. b EIMP (arrêt du Tribunal pénal fédéral RR.2010.32 du 17 mars 2010 consid. 3.2.1 et références citées); en outre, en application de l'art. 9a let. b OEIMP, en cas de perquisition est habilité à recourir le propriétaire ou le locataire; cette disposition est à interpréter en ce sens que la personne – physique ou morale – qui doit se soumettre personnellement à une perquisition ou à un séquestre d’objets ou de valeurs a en principe la qualité́ pour agir; il peut s’agir du propriétaire ou du locataire (cf. ATF 128 II 211 consid. 2.3 et 2.5, SJ 2002 I 609; ATF 123 II 161 consid. 1d; arrêt du Tribunal pénal fédéral RR.2019.12 du 29 mai 2019 consid. 2 et réf. citées); dans la mesure où la perquisition a eu lieu au domicile des recourants, ils ont tous deux la qualité pour agir; le refus d’apposer des scellés constitue une décision incidente qui n’est pas attaquable séparément faute de dommage immédiat et irréparable au sens de l’art. 80e al. 2 EIMP (ZIMMERMANN, La coopération judiciaire en matière pénale, 5e éd. 2019, no 516 et références citées); la notion de préjudice immédiat et irréparable au sens de l’art. 80e al. 2 EIMP doit être interprétée de manière restrictive (arrêts du Tribunal pénal fédéral RR.2018.90-92 du 29 mars 2018; RR.2007.131 du 27 novembre 2007 consid. 2.1 et la jurisprudence citée);</w:t>
      </w:r>
    </w:p>
    <w:p>
      <w:r>
        <w:t>en particulier, il incombe au plaideur d'indiquer, dans l'acte de recours, en quoi consiste le préjudice prétendument subi et pourquoi ce préjudice ne</w:t>
      </w:r>
    </w:p>
    <w:p>
      <w:r>
        <w:t>- 6 -</w:t>
      </w:r>
    </w:p>
    <w:p>
      <w:r>
        <w:t>serait pas totalement prévenu par un arrêt annulant, le cas échéant, la décision de clôture qui interviendra ultérieurement; 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l’éventuel préjudice ne doit pas simplement être allégué par le recourant, mais rendu vraisemblable sur la base d'éléments spécifiques et concrets; à titre d’exemple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arrêts du Tribunal pénal fédéral RR.2015.319 du 7 janvier 2016;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les recourants invoquent d’abord à titre de préjudice immédiat et irréparable les déclarations expresses de l’autorité d’exécution dans la demande de levée des scellés au TMC indiquant que les documents objets de la présente procédure pourraient et seraient utilisés dans le cadre d’éventuelles procédures pénales ouvertes en Suisse;</w:t>
      </w:r>
    </w:p>
    <w:p>
      <w:r>
        <w:t>cependant, il s’agit à ce stade encore que d’une hypothèse de sorte qu’en l’état, on ne saurait retenir l’existence d’un préjudice immédiat et irréparable à cet égard;</w:t>
      </w:r>
    </w:p>
    <w:p>
      <w:r>
        <w:t>en tout état de cause, il y a lieu de relever que si une telle procédure nationale devait être ouverte, lorsque la personne concernée est partie à la procédure pénale, elle peut faire valoir ses moyens dans ce cadre (arrêt du Tribunal fédéral 1B_268/2019 du 25 novembre 2019 consid. 2.1);</w:t>
      </w:r>
    </w:p>
    <w:p>
      <w:r>
        <w:t>or, les recourants ont déjà demandé la mise sous scellés des documents concernés dans ce contexte (act. 1.13);</w:t>
      </w:r>
    </w:p>
    <w:p>
      <w:r>
        <w:t>- 7 -</w:t>
      </w:r>
    </w:p>
    <w:p>
      <w:r>
        <w:t>au surplus, l’autorité d’exécution pourrait sur la seule base du contenu de la demande d’entraide décider l’ouverture d’une procédure nationale;</w:t>
      </w:r>
    </w:p>
    <w:p>
      <w:r>
        <w:t>il est vrai à ce titre que les recourants font état à plusieurs reprises du fait que les documents concernés seraient couverts par le secret professionnel; il convient de relever cependant, sans préjuger du fond, qu’au vu de l’inventaire des documents saisis, a priori, les seuls d’entre ceux-ci qui apparaissent liés à des avocats sont ceux concernant les avocats hollandais des recourants (act. 1.5);</w:t>
      </w:r>
    </w:p>
    <w:p>
      <w:r>
        <w:t>toutefois, dans le cadre d’un séquestre en procédure pénale, pratique à laquelle il sied de se référer en entraide (art. 9 EIMP et art. 246 à 248 CPP), seul un avocat autorisé à représenter en justice en vertu de la loi fédérale du</w:t>
      </w:r>
    </w:p>
    <w:p>
      <w:r>
        <w:rPr>
          <w:b/>
        </w:rPr>
        <w:t>E. 23</w:t>
      </w:r>
    </w:p>
    <w:p>
      <w:r>
        <w:t>juin 2000 sur la libre circulation des avocats (LLCA; RS 935.61) est au bénéfice de l’exception selon laquelle ne peuvent être séquestrés les documents concernant des contacts entre le prévenu et son défenseur (art. 264 al. 1 let. a CPP; ATF 140 II 102 consid. 5.2.2; arrêt du Tribunal fédéral 1B_333/2020 du 22 juin 2021 consid. 2.9);</w:t>
      </w:r>
    </w:p>
    <w:p>
      <w:r>
        <w:t>en l’occurrence, il n’apparaît pas à la lumière du dossier que les avocats hollandais des recourants soient admis à pratiquer le barreau en Suisse, ce qui n’est d’ailleurs pas soutenu non plus par les recourants, de sorte qu’il est douteux que les documents en question puissent bénéficier de la protection de l’art. 264 CPP;</w:t>
      </w:r>
    </w:p>
    <w:p>
      <w:r>
        <w:t>les recourants retiennent également à titre de préjudice immédiat et irréparable l’absence de garantie signée par les deux enquêteurs hollandais présents lors de la perquisition du 16 juin 2021;</w:t>
      </w:r>
    </w:p>
    <w:p>
      <w:r>
        <w:t>ils relèvent cependant qu’ils ignorent si une telle garantie existe en l’espèce compte tenu du fait que l’autorité d’exécution leur a refusé l’accès au dossier,</w:t>
      </w:r>
    </w:p>
    <w:p>
      <w:r>
        <w:t>il faut en conclure qu’à l’heure actuelle, ce grief se fonde lui aussi sur une simple conjecture;</w:t>
      </w:r>
    </w:p>
    <w:p>
      <w:r>
        <w:t>en outre, il ressort notamment de la décision entreprise (act. 1) qu’une avocate suisse était présente aux côtés de la recourante lors de la perquisition querellée et, constatant la présence des agents étrangers lors de l’exécution de cette mesure, elle aurait pu s’enquérir à ce moment-là de l’existence d’une garantie, ce qu’elle n’a pourtant pas fait;</w:t>
      </w:r>
    </w:p>
    <w:p>
      <w:r>
        <w:t>partant, les recourants n’ont pas établi à satisfaction l’existence de préjudices immédiats et irréparables, de sorte que le recours doit être</w:t>
      </w:r>
    </w:p>
    <w:p>
      <w:r>
        <w:t>- 8 -</w:t>
      </w:r>
    </w:p>
    <w:p>
      <w:r>
        <w:t>déclaré irrecevable;</w:t>
      </w:r>
    </w:p>
    <w:p>
      <w:r>
        <w:t>au vu de ce qui précède, la Cour de céans a renoncé à procéder à un échange d'écritures (art. 57 al. 1 PA);</w:t>
      </w:r>
    </w:p>
    <w:p>
      <w:r>
        <w:t>les recourants ont formulé une demande d’assistance judiciaire;</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cette condition n'est en l'espèce pas réalisée: en effet, les considérations qui précèdent se fondent sur l'application de dispositions légales claires et sur des principes jurisprudentiels bien établis, que l'argumentation développée par les recourants n'était manifestement pas propre à remettre en question de sorte que l'octroi de l’assistance judiciaire doit être refusé;</w:t>
      </w:r>
    </w:p>
    <w:p>
      <w:r>
        <w:t>sur ce vu, la demande d’effet suspensif, respectivement de mesures provisionnelles est devenue sans objet, étant rappelé que l’objet du recours est la décision levant les scellés et non le séquestre des comptes dont les recourants demandent une levée partielle par le biais de la mesure provisionnelle;</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 qui succombe, les recourants doivent supporter solidairement les frais du présent arrêt (art. 63 al. 1 PA applicable par renvoi à l’art. 39 al. 2 let. b LOAP), lesquels sont fixés à CHF 2’000.-- (v. art. 8 al. 3 let. b du règlement du Tribunal pénal fédéral sur les frais, émoluments, dépens, et indemnités de la procédure pénale fédérale [RFPPF; RS 173.713.162] et art. 63 al. 4bis let. b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