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RR.2021.140 vom 11. November 2021</w:t>
      </w:r>
    </w:p>
    <w:p>
      <w:r>
        <w:t>Bundesstrafgericht, 2021-11-11, IT</w:t>
      </w:r>
    </w:p>
    <w:p>
      <w:r>
        <w:rPr>
          <w:b/>
        </w:rPr>
        <w:t xml:space="preserve">Quelle: </w:t>
      </w:r>
      <w:r>
        <w:t>https://mcp.opencaselaw.ch/entscheid/bstger_RR.2021.140</w:t>
      </w:r>
    </w:p>
    <w:p>
      <w:r>
        <w:t>FR: TPF RR.2021.140 du 11 novembre 2021</w:t>
      </w:r>
    </w:p>
    <w:p>
      <w:r>
        <w:t>IT: TPF RR.2021.140 del 11 novembre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w:t>
      </w:r>
    </w:p>
    <w:p>
      <w:r>
        <w:t>- 5 -</w:t>
      </w:r>
    </w:p>
    <w:p>
      <w:r>
        <w:t>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10 giugno 2021, il ricorso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w:t>
      </w:r>
    </w:p>
    <w:p>
      <w:r>
        <w:t>- 6 -</w:t>
      </w:r>
    </w:p>
    <w:p>
      <w:r>
        <w:t>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 concernono un’altra persona contro la quale è pendente un procedimento pe- nale estero (DTF 137 IV 134 consid. 5.2.3; 123 II 161 consid. 1d; 116 Ib 106 consid. 2a; TPF 2007 79 consid. 1.6).</w:t>
      </w:r>
    </w:p>
    <w:p>
      <w:r>
        <w:rPr>
          <w:b/>
        </w:rPr>
        <w:t>E. 1.5.2</w:t>
      </w:r>
    </w:p>
    <w:p>
      <w:r>
        <w:t>In concreto, la perquisizione e il sequestro della documentazione cartacea e in formato elettronico oggetto della decisione impugnata hanno avuto luogo presso l’appartamento di D., a Lugano-Paradiso, compagna del ricorrente. Nella misura in cui quest’ultimo non risulta né proprietario né locatario degli spazi in questione (v. art. 9a lett. b OAIMP), la sua legittimazione ricorsuale fa chiara- mente difetto (in questo ambito v. DTF 137 IV 134 consid. 6.2; sentenze del Tribunale penale federale RR.2016.277 del 7 febbraio 2017 consid. 1.5.2; RR.2015.289-290 del 13 aprile 2016 consid. 2.2.1). Va a tal proposito eviden- ziato che, se è vero che l’elenco previsto all’art. 9a OAIMP delle persone per- sonalmente e direttamente toccate ai sensi degli art. 21 cpv. 3 e 80h AIMP non è esaustivo, nel caso di perquisizioni domiciliari le uniche persone legittimate a ricorrere sono il proprietario e il locatario dei locali perquisiti. Sia la sopraccitata giurisprudenza che la stessa lettera dell’art. 9a lett. b OAIMP non lasciano spa- zio a dubbi in merito, atteso che l’avverbio “segnatamente” (“namentlich”, “no- tamment”) è grammaticalmente riferito all’elenco nel suo insieme e non ad ogni singolo caso elencato alle lett. a, b e c di questa stessa disposizione. La volontà del legislatore è proprio quella di definire, in questi tre casi tipici, le sole persone legittimate a ricorrere per garantire la certezza del diritto e la celerità della pro- cedura (v. art. 17a AIMP e BUSSMANN, Commentario basilese, op. cit., n. 10 ad art. 80h AIMP). L’autorità d’esecuzione deve poter determinare facilmente e ra- pidamente le persone alle quali occorre notificare le sue decisioni (v. sentenza del Tribunale federale 1C_626/2015 dell’8 dicembre 2015 consid. 1.4). Certo la dottrina (v. BUSSMANN, op. cit., n. 40 ad art. 80h AIMP e rinvii) ammette la legit- timazione a ricorrere anche di un eventuale sublocatario, mutuatario, usufrut- tuario o titolare di diritto di abitazione, ma proprio per il fatto che essi sarebbero</w:t>
      </w:r>
    </w:p>
    <w:p>
      <w:r>
        <w:t>- 7 -</w:t>
      </w:r>
    </w:p>
    <w:p>
      <w:r>
        <w:t>direttamente toccati alla pari del proprietario o del locatario dei locali. Nulla di tutto ciò nella fattispecie, come confermato del resto dalla proprietaria dell’ap- partamento, D., la quale, interpellata dal Comune di Lugano-Paradiso circa la durata di soggiorno di A. nel suo appartamento, ha dichiarato, il 15 maggio 2019, che “il mio fidanzato vive e lavora in Lussemburgo dove in media trascorre</w:t>
      </w:r>
    </w:p>
    <w:p>
      <w:r>
        <w:rPr>
          <w:b/>
        </w:rPr>
        <w:t>E. 3</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2'000.–, a carico del ricorrente; essa è coperta dall'anticipo delle spese di fr. 5'000.– già versato. La Cassa del Tri- bunale restituirà al ricorrente il saldo di fr. 3'000.–.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