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RR.2021.139 vom 11. November 2021</w:t>
      </w:r>
    </w:p>
    <w:p>
      <w:r>
        <w:t>Bundesstrafgericht, 2021-11-11, IT</w:t>
      </w:r>
    </w:p>
    <w:p>
      <w:r>
        <w:rPr>
          <w:b/>
        </w:rPr>
        <w:t xml:space="preserve">Quelle: </w:t>
      </w:r>
      <w:r>
        <w:t>https://mcp.opencaselaw.ch/entscheid/bstger_RR.2021.139</w:t>
      </w:r>
    </w:p>
    <w:p>
      <w:r>
        <w:t>FR: TPF RR.2021.139 du 11 novembre 2021</w:t>
      </w:r>
    </w:p>
    <w:p>
      <w:r>
        <w:t>IT: TPF RR.2021.139 del 11 novembre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w:t>
      </w:r>
    </w:p>
    <w:p>
      <w:r>
        <w:t>- 5 -</w:t>
      </w:r>
    </w:p>
    <w:p>
      <w:r>
        <w:t>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10 giugno 2021, il ricorso è ricevibile sotto il profilo degli art. 25 cpv. 1, 80e cpv. 1 e 80k AIMP. Nella misura in cui la ricorrente contesta la trasmissione all’estero di documen- tazione cartacea e informatica sequestrata presso la sua sede, la legittimazione ricorsuale è data (v. art. 9a lett. b OAIMP; DTF 137 IV 134 consid. 6.2; sentenze del Tribunale penale federale RR.2016.277 del 7 febbraio 2017 consid. 1.5.2; RR.2015.289-290 del 13 aprile 2016 consid. 2.2.1).</w:t>
      </w:r>
    </w:p>
    <w:p>
      <w:r>
        <w:rPr>
          <w:b/>
        </w:rPr>
        <w:t>E. 2</w:t>
      </w:r>
    </w:p>
    <w:p>
      <w:r>
        <w:t>La ricorrente censura la violazione del principio della proporzionalità e del di- vieto della fishing expedition. A suo dire, la documentazione litigiosa, e in parti- colar modo quella informatica, sarebbe estranea all’oggetto della rogatoria. La cernita avvenuta attraverso delle parole chiave non avrebbe permesso di esclu- der tutta una serie di documenti concernenti persone fisiche e giuridiche che nulla avrebbero a che fare con il procedimento estero. Tali documenti conter- rebbero informazioni e dati sensibili che la ricorrente sarebbe tenuta a tutelare in virtù dell’obbligo di rispettare il segreto degli affari. Da ciò l’esigenza di pro- cedere a un’ulteriore cernita in presenza delle parti.</w:t>
      </w:r>
    </w:p>
    <w:p>
      <w:r>
        <w:rPr>
          <w:b/>
        </w:rPr>
        <w:t>E. 2.1.1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- 6 -</w:t>
      </w:r>
    </w:p>
    <w:p>
      <w:r>
        <w:t>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risultanti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La coopération judiciaire internationale en matière pénale, 5a ediz. 2019, n. 722, pag. 798 e seg.). Vietata è per contro la cosiddetta fishing expedition, la quale è definita dalla giurisprudenza una ricerca generale e indeterminata di mezzi di prova volta a fondare un sospetto senza che esistano pregressi ele- 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2.1.2</w:t>
      </w:r>
    </w:p>
    <w:p>
      <w:r>
        <w:t>Nella fattispecie, l'utilità potenziale della documentazione litigiosa è certamente data, già solo per il fatto che D., facente parte del Consiglio di amministrazione della società ricorrente (ex E. SA), è indagato nell’inchiesta italiana. Il mede- simo, secondo le autorità estere, sarebbe (stato) in costante contatto con B., anch’egli indagato, referente dell’allora E. Lussemburgo e dominus dell’intero network dell’allora E. SA, oggi A. SA. Ciò premesso, si rileva che le parole chiave utilizzate dall’autorità di esecuzione, e per essa dal Centro Sistemi Infor- mativi del Cantone Ticino (CSI; v. atto 41 e 42 incarto MP-TI), per l’estrapola- zione dei dati qui litigiosi sono state fornite dall’autorità rogante (v. atto 5, alle- gato 1, incarto MP-TI) e accettate dinanzi al Giudice dei provvedimenti coercitivi che ha statuito su di un’istanza di levata dei sigilli presentata dal MP-TI in data 27 ottobre 2020 (v. atto 31a incarto MP-TI). Si tratta di nominativi strettamente legati con la domanda di assistenza. È evidente che la ripresa dei nomi delle persone coinvolte nell’inchiesta estera quali parole chiave ha toccato persone con cui i predetti hanno avuto delle relazioni. Si tratta di un modo di procedere che non presta il fianco a critiche, anche perché l’autorità estera deve potere verificare tutti i contatti avuti dalla ricorrente con terze persone potenzialmente coinvolte nei fatti oggetto d’indagine. Non potendo quindi escludere che anche</w:t>
      </w:r>
    </w:p>
    <w:p>
      <w:r>
        <w:t>- 7 -</w:t>
      </w:r>
    </w:p>
    <w:p>
      <w:r>
        <w:t>altre persone fisiche e/o giuridiche ancora sconosciute agli inquirenti esteri pos- sano risultare coinvolte nella vicenda, la richiesta di anonimizzazione di taluni documenti e/o nominativi deve essere disattesa.</w:t>
      </w:r>
    </w:p>
    <w:p>
      <w:r>
        <w:t>Spetterà comunque al giudice estero del merito chinarsi sulle contestazioni dei fatti e/o reati formulate dalla ricorrente nonché valutare se dalla documenta- zione inoltrata emerge in concreto una connessione penalmente rilevante fra i fatti oggetto della procedura penale in Italia e detta documentazione. Alla luce della domanda rogatoriale risulta che tutta la documentazione litigiosa è poten- zialmente utile per l’inchiesta, motivo per cui la sua trasmissione rispetta il prin- cipio della proporzionalità e non costituisce una ricerca indiscriminata di mezzi di prova.</w:t>
      </w:r>
    </w:p>
    <w:p>
      <w:r>
        <w:rPr>
          <w:b/>
        </w:rPr>
        <w:t>E. 2.2.1</w:t>
      </w:r>
    </w:p>
    <w:p>
      <w:r>
        <w:t>La rivelazione di segreti commerciali non costituisce un impedimento assoluto all'esecuzione di misure rogatoriali e alla concessione di assistenza giudiziaria (v. art. 248 cpv. 1 CPP in relazione con art. 9 AIMP; KELLER, Commentario zu- righese, 3a ediz. 2020, n. 23 e seg. ad art. 248 CPP; v. anche GSTÖHL, Ge- heimnisschutz im Verfahren der internationalen Rechtshilfe in Strafsachen, 2008, pag. 318). In caso di obbligo di testimoniare e di edizione, prevale di re- gola l'obbligo d'informare, dato che il segreto commerciale non costituisce un motivo per non deporre o per opporsi ad un ordine di edizione (v. GSTÖHL, op. cit., pag. 80). Per opporsi validamente ad una richiesta estera è necessario in tal senso rendere verosimile il motivo per cui il segreto in questione dovrebbe prevalere sulle esigenze del procedimento penale (v. GLUTZ, Commentario ba- silese, 2015, n. 8 ad art. 9 AIMP).</w:t>
      </w:r>
    </w:p>
    <w:p>
      <w:r>
        <w:rPr>
          <w:b/>
        </w:rPr>
        <w:t>E. 2.2.2</w:t>
      </w:r>
    </w:p>
    <w:p>
      <w:r>
        <w:t>Nel ricorso non vengono sufficientemente spiegate e sostanziate le ragioni per cui, nel caso concreto, la protezione degli interessi commerciali della società ricorrente o di terzi prevarrebbe su quella degli interessi istruttori delle autorità di perseguimento penale estere, i quali sono di regola preponderanti; ragioni che neppure gli atti dell'incarto permettono del resto di evidenziare. Le afferma- zioni della ricorrente in tale ambito, prive di qualsiasi riferimento a problematiche specifiche, puntuali e concrete, non permettono dunque di rifiutare l'assistenza a causa dell'invocata tutela del segreto degli affari. Spetterà del resto alle auto- rità italiane adottare eventuali misure supplementari in tal senso, qualora nel procedimento all'estero dovessero essere presentate richieste simili, e non vi è nessuna ragione per ritenere che esse non verrebbero dovutamente prese in esame a salvaguardia dei legittimi interessi delle parti.</w:t>
      </w:r>
    </w:p>
    <w:p>
      <w:r>
        <w:rPr>
          <w:b/>
        </w:rPr>
        <w:t>E. 3</w:t>
      </w:r>
    </w:p>
    <w:p>
      <w:r>
        <w:t>In definitiva, il ricorso va respinto e la decisione di chiusura confermata.</w:t>
      </w:r>
    </w:p>
    <w:p>
      <w:r>
        <w:t>- 8 -</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5'000.–, a carico della ricorrente; essa è coperta dall'anticipo delle spese del medesimo importo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