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RR.2021.137 vom 11. November 2021</w:t>
      </w:r>
    </w:p>
    <w:p>
      <w:r>
        <w:t>Bundesstrafgericht, 2021-11-11, IT</w:t>
      </w:r>
    </w:p>
    <w:p>
      <w:r>
        <w:rPr>
          <w:b/>
        </w:rPr>
        <w:t xml:space="preserve">Quelle: </w:t>
      </w:r>
      <w:r>
        <w:t>https://mcp.opencaselaw.ch/entscheid/bstger_RR.2021.137</w:t>
      </w:r>
    </w:p>
    <w:p>
      <w:r>
        <w:t>FR: TPF RR.2021.137 du 11 novembre 2021</w:t>
      </w:r>
    </w:p>
    <w:p>
      <w:r>
        <w:t>IT: TPF RR.2021.137 del 11 novembre 2021</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w:t>
      </w:r>
    </w:p>
    <w:p>
      <w:r>
        <w:t>- 4 -</w:t>
      </w:r>
    </w:p>
    <w:p>
      <w:r>
        <w:t>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nonché l’art. 46 della Convenzione delle Nazioni Unite contro la corruzione (in seguito: UNCAC), conclusa il 31 ottobre 2003, entrata in vigore per l’Italia il 4 novembre 2009 e per la Svizzera il 24 ottobre 2009 (RS 0.311.56), richiamati gli art. 14 e 23 relativi al riciclaggio in generale. Alle questioni che il prevalente diritto inter- nazionale contenuto in detti trattati non regola espressamente o implicitamente, come pure quando il diritto nazionale sia più favorevole all'assistenza rispetto a quello pattizio (cosiddetto principio di favore), si applica la legge sull'assistenza in materia penale, unitamente alla relativa ordinanza (OAIMP; RS 351.11; v. art. 1 cpv. 1 AIMP, art. I n. 2 Accordo italo-svizzero; DTF 145 IV 294 con- sid. 2.1; 142 IV 250 consid. 3; 140 IV 123 consid. 2; 137 IV 33 consid. 2.2.2; 136 IV 82 consid. 3.1). Il principio di favore vale anche nell'applicazione delle pertinenti norme di diritto internazionale (v. art. 48 n. 2 CAS, art.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del 10 giugno 2021, il ricorso è ricevibile sotto il profilo degli art. 25 cpv. 1, 80e cpv. 1 e 80k AIMP.</w:t>
      </w:r>
    </w:p>
    <w:p>
      <w:r>
        <w:rPr>
          <w:b/>
        </w:rPr>
        <w:t>E. 1.5.1</w:t>
      </w:r>
    </w:p>
    <w:p>
      <w:r>
        <w:t>La ricevibilità del gravame presuppone altresì la legittimazione a ricorrere dell'insorgente giusta l’art. 80h AIMP. In base a quest’ultima disposizione, oltre all’UFG (art. 80h lett. a AIMP), ha diritto di ricorrere chiunque è toccato perso- nalmente e direttamente da una misura d’assistenza giudiziaria e ha un inte- resse degno di protezione all’annullamento o alla modifica della stessa (art. 80h lett. b AIMP; v. anche l’art. 21 cpv. 3 AIMP per quanto concerne le persone</w:t>
      </w:r>
    </w:p>
    <w:p>
      <w:r>
        <w:t>- 5 -</w:t>
      </w:r>
    </w:p>
    <w:p>
      <w:r>
        <w:t>contro cui è diretto il procedimento penale all’estero). Il concetto di persona toc- cata ai sensi dei predetti articoli di legge trova concretizzazione sia nella giuri- sprudenza che all'art. 9a OAIMP. Per essere considerato personalmente e di- rettamente toccato da una misura di assistenza giudiziaria internazionale, il ri- corrente deve avere un legame sufficientemente stretto con la decisione liti- giosa (DTF 123 II 161 consid. 1 d/aa). Più concretamente, nel caso di una ri- chiesta d’informazioni su un conto bancario è considerato personalmente e di- rettamente toccato il titolare del conto (v. art. 9a lett. a OAIMP; DTF 137 IV 134 consid. 5.2 e 5.2.1 e 118 Ib 547 consid. 1d), così come nelle perquisizioni do- miciliari questa qualità spetta al proprietario o al locatario (v. art. 9a lett. b OAIMP). In via giurisprudenziale è stato altresì precisato che la legittimazione a ricorrere compete alla persona direttamente sottoposta a una misura coerci- tiva (perquisizione, sequestro o interrogatorio; DTF 130 II 162 consid. 1.1; 128 II 211 consid. 2.3; 127 II 198 consid. 2d; 126 II 258 consid. 2d; 124 II 180 consid. 1b; TPF 2007 79 consid. 1.6 pag. 82), mentre gli interessati toccati solo in ma- niera indiretta, come ad esempio il mero avente diritto economico di un conto bancario, non possono impugnare tali provvedimenti (DTF 137 IV 134 consid. 5.2.1 e 122 II 130 consid. 2b e rinvii). Per lo stesso motivo, nel caso di docu- menti in possesso di terzi, soltanto questi ultimi in quanto loro possessori pos- sono contestare il sequestro degli stessi, anche se i documenti in questione concernono un’altra persona contro la quale è pendente un procedimento pe- nale estero (DTF 137 IV 134 consid. 5.2.3; 123 II 161 consid. 1d; 116 Ib 106 consid. 2a; TPF 2007 79 consid. 1.6).</w:t>
      </w:r>
    </w:p>
    <w:p>
      <w:r>
        <w:rPr>
          <w:b/>
        </w:rPr>
        <w:t>E. 1.5.2</w:t>
      </w:r>
    </w:p>
    <w:p>
      <w:r>
        <w:t>In concreto, la perquisizione e il sequestro della documentazione cartacea e in formato elettronico oggetto della decisione impugnata hanno avuto luogo presso la sede di D. SA a Lugano, locali di cui il ricorrente non è né locatario né proprietario (v. act. 1.6). Ciò constatato, la sua legittimazione ricorsuale fa chia- ramente difetto (in questo ambito v. DTF 137 IV 134 consid. 6.2; sentenze del Tribunale penale federale RR.2016.277 del 7 febbraio 2017 consid. 1.5.2; RR.2015.289-290 del 13 aprile 2016 consid. 2.2.1). Va a tal proposito eviden- ziato che, se è vero che l’elenco previsto all’art. 9a OAIMP delle persone per- sonalmente e direttamente toccate ai sensi degli art. 21 cpv. 3 e 80h AIMP non è esaustivo, nel caso di perquisizioni domiciliari le uniche persone legittimate a ricorrere sono il proprietario e il locatario dei locali perquisiti. Sia la sopraccitata giurisprudenza che la stessa lettera dell’art. 9a lett. b OAIMP non lasciano spa- zio a dubbi in merito, atteso che l’avverbio “segnatamente” (“namentlich”, “no- tamment”) è grammaticalmente riferito all’elenco nel suo insieme e non ad ogni singolo caso elencato alle lett. a, b e c di questa stessa disposizione. La volontà del legislatore è proprio quella di definire, in questi tre casi tipici, le sole persone legittimate a ricorrere per garantire la certezza del diritto e la celerità della pro- cedura (v. art. 17a AIMP e BUSSMANN, Commentario basilese, op. cit., n. 10 ad art. 80h AIMP). L’autorità d’esecuzione deve poter determinare facilmente e ra- pidamente le persone alle quali occorre notificare le sue decisioni (v. sentenza</w:t>
      </w:r>
    </w:p>
    <w:p>
      <w:r>
        <w:t>- 6 -</w:t>
      </w:r>
    </w:p>
    <w:p>
      <w:r>
        <w:t>del Tribunale federale 1C_626/2015 dell’8 dicembre 2015 consid. 1.4). Certo la dottrina (v. BUSSMANN, op. cit., n. 40 ad art. 80h AIMP e rinvii) ammette la legit- timazione a ricorrere anche di un eventuale sublocatario, mutuatario, usufrut- tuario o titolare di diritto di abitazione, ma proprio per il fatto che essi sarebbero direttamente toccati alla pari del proprietario o del locatario dei locali. Nulla di tutto ciò nella fattispecie. Stesso discorso per quanto riguarda la mailbox E.com, visto che si tratta palesemente di una mailbox nella sfera di controllo di D. SA e non certo ottenuta mediante una perquisizione presso il ricorrente stesso.</w:t>
      </w:r>
    </w:p>
    <w:p>
      <w:r>
        <w:rPr>
          <w:b/>
        </w:rPr>
        <w:t>E. 2</w:t>
      </w:r>
    </w:p>
    <w:p>
      <w:r>
        <w:t>In conclusione, non disponendo il ricorrente della legittimazione ricorsuale, il gravame deve essere dichiarato inammissibile.</w:t>
      </w:r>
    </w:p>
    <w:p>
      <w:r>
        <w:rPr>
          <w:b/>
        </w:rPr>
        <w:t>E. 3</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2'000.–, a carico del ricorrente; essa è coperta dall'anticipo delle spese di fr. 5'000.– già versato. La Cassa del Tri- bunale restituirà al ricorrente il saldo di fr. 3'000.–.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