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RR.2021.130 vom 17. November 2021</w:t>
      </w:r>
    </w:p>
    <w:p>
      <w:r>
        <w:t>Bundesstrafgericht, 2021-11-17, DE</w:t>
      </w:r>
    </w:p>
    <w:p>
      <w:r>
        <w:rPr>
          <w:b/>
        </w:rPr>
        <w:t xml:space="preserve">Quelle: </w:t>
      </w:r>
      <w:r>
        <w:t>https://mcp.opencaselaw.ch/entscheid/bstger_RR.2021.130</w:t>
      </w:r>
    </w:p>
    <w:p>
      <w:r>
        <w:t>FR: TPF RR.2021.130 du 17 novembre 2021</w:t>
      </w:r>
    </w:p>
    <w:p>
      <w:r>
        <w:t>IT: TPF RR.2021.130 del 17 novembre 2021</w:t>
      </w:r>
    </w:p>
    <w:p>
      <w:pPr>
        <w:pStyle w:val="Heading2"/>
      </w:pPr>
      <w:r>
        <w:t>Regeste</w:t>
      </w:r>
    </w:p>
    <w:p>
      <w:r>
        <w:t>Internationale Rechtshilfe in Strafsachen an Brasilien; Herausgabe von Beweismitteln (Art. 74 IRSG)</w:t>
      </w:r>
    </w:p>
    <w:p>
      <w:pPr>
        <w:pStyle w:val="Heading2"/>
      </w:pPr>
      <w:r>
        <w:t>Erwägungen</w:t>
      </w:r>
    </w:p>
    <w:p>
      <w:r>
        <w:rPr>
          <w:b/>
        </w:rPr>
        <w:t>E. 1</w:t>
      </w:r>
    </w:p>
    <w:p>
      <w:r>
        <w:t>Im Beschwerdeverfahren ist grundsätzlich die Sprache des angefochtenen Entscheids massgebend (vgl. Art. 33a Abs. 2 des Bundesgesetzes vom 20. Dezember 1968 über das Verwaltungsverfahren [Verwaltungsverfah- rensgesetz, VwVG; SR 172.021]). Vorliegend besteht kein Grund, von dieser Regel abzuweichen, weshalb der vorliegende Entscheid in deutscher Spra- che ergeht, auch wenn die Beschwerde in Französisch verfasst ist.</w:t>
      </w:r>
    </w:p>
    <w:p>
      <w:r>
        <w:rPr>
          <w:b/>
        </w:rPr>
        <w:t>E. 2.1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w:t>
      </w:r>
    </w:p>
    <w:p>
      <w:r>
        <w:t>- 5 -</w:t>
      </w:r>
    </w:p>
    <w:p>
      <w:r>
        <w:t>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2.2</w:t>
      </w:r>
    </w:p>
    <w:p>
      <w:r>
        <w:t>Auf das vorliegende Beschwerdeverfahren sind zudem die Bestimmungen des VwVG anwendbar (Art. 37 Abs. 2 lit. a i.V.m. Art. 39 Abs. 2 lit. b des Bundesgesetzes vom 19. März 2010 über die Organisation der Strafbehör- den des Bundes [Strafbehördenorganisationsgesetz, StBOG; SR 173.71]; BGE 139 II 404 E. 6/8.2; Urteil des Bundesgerichts 1C_763/2013 vom 27. September 2013 E. 2.2; ZIMMERMANN, a.a.O., N. 273).</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richtet sich gegen zwei Schlussverfügungen der ausführenden Bundesbehörde und wurde sowohl frist- als auch formge- recht erhoben.</w:t>
      </w:r>
    </w:p>
    <w:p>
      <w:r>
        <w:rPr>
          <w:b/>
        </w:rPr>
        <w:t>E. 3.2.1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3.2.2</w:t>
      </w:r>
    </w:p>
    <w:p>
      <w:r>
        <w:t>Bloss wirtschaftlich an einem Bankkonto, Banksafe oder Wertschriftendepot Berechtigte sind im Gegensatz zu deren Inhaber grundsätzlich nicht legiti- miert, Rechtshilfemassnahmen anzufechten, welche die Bankverbindung</w:t>
      </w:r>
    </w:p>
    <w:p>
      <w:r>
        <w:t>- 6 -</w:t>
      </w:r>
    </w:p>
    <w:p>
      <w:r>
        <w:t>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2c-d S. 157 f.). Die Beweislast für die wirtschaftliche Berechtigung und die Liqui- dation der Gesellschaft obliegt dem Rechtsuchenden. Darüber hinaus muss der wirtschaftlich Berechtigte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 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3.2.3</w:t>
      </w:r>
    </w:p>
    <w:p>
      <w:r>
        <w:t>Inhaberin des von der Rechtshilfemassnahme betroffenen Bankkontos bei der Bank C. war die E. SA. Mit der Übernahme der Bank C. durch die Bank D. ging die Geschäftsbeziehung per 31. Oktober 2013 auf diese über. Anlässlich der ausserordentlichen Generalversammlung vom 31. Mai 2017 wurde die Auflösung der E. SA beschlossen (Verfahrensakten BA, unpagi- niert, Schreiben von RA Spirgi vom 4. März 2021, Beilage 1). Der Bank D. wurde am 10. Mai 2017 der Auftrag erteilt, die sich auf dem Konto Nr. 3 be- findlichen Vermögenswerte auf das Konto des Beschwerdeführers 1 zu über- weisen und anschliessend das Konto zu schliessen. Das Konto bei der Bank D. wurde am 22. Juni 2017 geschlossen (Verfahrensakten BA, Bank- unterlagen Bank D., pag. 002177_00526). Gemäss den Feststellungen des Rechnungsprüfers der E. SA im Schreiben vom 24. Februar 2021 war die Beschwerdeführerin 2 die einzige Aktionärin der E. SA, deren wirtschaftlich Berechtigter der Beschwerdeführer 1 ist. Weiter wurde darin festgehalten, dass die zum Zeitpunkt des Abschlusses vorhandenen Vermögenswerte der E. SA in Höhe von USD 1'097'796.-- der Beschwerdeführerin 2 und dem Be- schwerdeführer 1 als ihren wirtschaftlich Berechtigten zugesprochen worden seien (Verfahrensakten BA, unpaginiert, Schreiben von RA Spirgi vom</w:t>
      </w:r>
    </w:p>
    <w:p>
      <w:r>
        <w:rPr>
          <w:b/>
        </w:rPr>
        <w:t>E. 3.3</w:t>
      </w:r>
    </w:p>
    <w:p>
      <w:r>
        <w:t>Nach dem Gesagten ist auf die Beschwerde einzutreten.</w:t>
      </w:r>
    </w:p>
    <w:p>
      <w:r>
        <w:t>- 7 -</w:t>
      </w:r>
    </w:p>
    <w:p>
      <w:r>
        <w:rPr>
          <w:b/>
        </w:rPr>
        <w:t>E. 4</w:t>
      </w:r>
    </w:p>
    <w:p>
      <w:r>
        <w:t>März 2021, Beilage 5). Auch wenn nicht dargelegt wird, an wen von den beiden Beschwerdeführern und in welchem Umfang der Liquidationserlös tatsächlich ausbezahlt wurde, ist unter vorliegenden Umständen die Be- schwerdelegitimation der Beschwerdeführer zu bejahen.</w:t>
      </w:r>
    </w:p>
    <w:p>
      <w:r>
        <w:rPr>
          <w:b/>
        </w:rPr>
        <w:t>E. 4.1</w:t>
      </w:r>
    </w:p>
    <w:p>
      <w:r>
        <w:t>In formeller Hinsicht rügen die Beschwerdeführer schwerwiegende Verlet- zungen ihres Anspruchs auf rechtliches Gehör. Sie bringen vor, keine Ein- sicht in das Ersuchen vom 13. März 2019 erhalten zu haben, obschon die ihnen zugestellte Eintretensverfügung vom 10. Juli 2019 gestützt darauf er- lassen worden sei. Zudem sei ihnen das Rechtshilfeersuchen vom 14. Au- gust 2020 ohne die darin erwähnten Beilagen zugestellt worden. Daher seien sie nicht im Stande, sich abschliessend dazu zu äussern, ob dem Rechtshil- feersuchen vom 14. August 2020 stattgegeben werden könne. Die Be- schwerdegegnerin sei in den Schlussverfügungen auf die von ihnen im Schreiben vom 5. Mai 2021 erhobene Rüge der Gehörsverletzung nicht ein- gegangen und habe damit ihren Anspruch auf rechtliches Gehör erneut ver- letzt (act. 1, S. 7 ff.).</w:t>
      </w:r>
    </w:p>
    <w:p>
      <w:r>
        <w:rPr>
          <w:b/>
        </w:rPr>
        <w:t>E. 4.2</w:t>
      </w:r>
    </w:p>
    <w:p>
      <w:r>
        <w:t>Die Beschwerdegegnerin bestreitet nicht, den Beschwerdeführern keine Ein- sicht in das Rechtshilfeersuchen vom 13. März 2019 und in die Anhänge des Ersuchens vom 14. August 2020 gewährt zu haben. Ihr Vorgehen begründet sie im Wesentlichen damit, dass sich das Einsichtsrecht auf diejenigen Un- terlagen beschränke, welche von der ausführenden Behörde in Erwägung gezogen werden, um ihre Entscheidungen zu begründen, d.h. die für den angefochtenen Entscheid relevant sein könnten. Es handle sich beim Ersu- chen vom 14. August 2020 um ein ergänzendes Ersuchen. Sie habe die Vo- raussetzungen für die Gewährung der Rechtshilfe überprüft und diese als erfüllt entschieden, ohne sich dabei auf das Ersuchen vom 13. März 2019 zu stützen. Auch in den folgenden Entscheiden habe sich die Beschwerdegeg- nerin lediglich auf das Ersuchen vom 14. August 2020 gestützt, das den Be- schwerdeführern im Rahmen der Akteneinsicht unterbreitet worden sei. Da sich die Beschwerdegegnerin bei ihren Entscheidungen auf den Sachverhalt des Ersuchens vom 14. August 2020 abgestützt habe, gelte dasselbe in Be- zug auf die fehlenden Beilagen des Ersuchens (act. 11, S. 2).</w:t>
      </w:r>
    </w:p>
    <w:p>
      <w:r>
        <w:rPr>
          <w:b/>
        </w:rPr>
        <w:t>E. 4.3.1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w:t>
      </w:r>
    </w:p>
    <w:p>
      <w:r>
        <w:t>- 8 -</w:t>
      </w:r>
    </w:p>
    <w:p>
      <w:r>
        <w:t>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4.3.2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4.4</w:t>
      </w:r>
    </w:p>
    <w:p>
      <w:r>
        <w:t>Laut den Ausführungen in den angefochtenen Schlussverfügungen soll die Generalstaatsanwaltschaft von Paraná im gegen den Beschwerdeführer 1 geführten Strafverfahren die Schweiz bereits am 13. März 2019 um Rechts- hilfe ersucht haben, das der Beschwerdegegnerin vom BJ am 29. März 2019 zum Vollzug übergeben worden sei. Dieses Ersuchen brachte die Beschwer- degegnerin weder den Beschwerdeführern noch dem Gericht zur Kenntnis. Die Beschwerdegegnerin reichte vorliegend lediglich die Eintretensverfü- gung vom 10. Juli 2019 zu den Akten, mit welcher sie dem Ersuchen vom 13. März 2019 entsprochen hat (Verfahrensakten BA, unpaginiert, Eintre- tensverfügung vom 10. Juli 2019). Die Generalstaatsanwaltschaft von Pa- raná gelangte mit Rechtshilfeersuchen vom 14. August 2020 ein weiteres Mal an die Schweiz und ersuchte unter anderem um Herausgabe von Bank- unterlagen zu den hier gegenständlichen Bankkonten (Verfahrensakten BA, unpaginiert, Rechtshilfeersuchen vom 14. August 2020). Daraufhin verfügte die Beschwerdegegnerin am 10. September 2020 die Herausgabe der Bank- unterlagen ohne vorgängig eine weitere Eintretensverfügung in Bezug auf das Ersuchen vom 14. August 2020 zu erlassen. Sowohl in den Herausga- beverfügungen vom 10. September 2020 als auch in den Schlussverfügun-</w:t>
      </w:r>
    </w:p>
    <w:p>
      <w:r>
        <w:t>- 9 -</w:t>
      </w:r>
    </w:p>
    <w:p>
      <w:r>
        <w:t>gen vom 28. Mai 2021 verwies die Beschwerdegegnerin auf die Eintretens- verfügung vom 10. Juli 2019 (Verfahrensakten BA, unpaginiert, Herausga- beverfügungen vom 10. September 2020; act. 1.3, 1.4).</w:t>
      </w:r>
    </w:p>
    <w:p>
      <w:r>
        <w:rPr>
          <w:b/>
        </w:rPr>
        <w:t>E. 4.5</w:t>
      </w:r>
    </w:p>
    <w:p>
      <w:r>
        <w:t>Die ausführende Behörde erlässt eine Eintretensverfügung (Art. 80a IRSG), wenn deren Vorprüfung des Rechtshilfeersuchens im Sinne Art. 80 IRSG po- sitiv ausfällt. Auf erneute Vorprüfung im Sinne von Art. 80 IRSG und Erlass einer formellen Eintretensverfügung kann ausnahmsweise verzichtet wer- den. Dies namentlich, wenn das zweite Rechtshilfeersuchen mit dem ersten inhaltlich fast identisch ist oder auf dem Sachverhalt des ersten Ersuchens basiert und es sich lediglich um dessen Ergänzung handelt (Entscheide des Bundesstrafgerichts RR.2019.81 vom 27. November 2019 E.4.2; RR.2013.111 vom 30. August 2013 E. 5.5). Die Beschwerdegegnerin be- zeichnet das Ersuchen vom 14. August 2020 als ergänzendes Ersuchen. Ob es sich um ein solches handelt und ob ein Ausnahmefall im Sinne des vor- gängig Gesagten gegeben ist, kann mangels Vorliegens des ursprünglichen Ersuchens vom 13. März 2019 nicht abschliessend beurteilt werden. Wes- halb die Beschwerdegegnerin auf Erlass einer formellen Eintretensverfü- gung verzichtet hat, legt sie nicht dar. Die Beschwerdegegnerin äusserte sich zum im Ersuchen dargestellten Sachverhalt sowohl in den angefochtenen Schlussverfügungen als auch in der Eintretensverfügung vom 10. Juli 2019 lediglich rudimentär und verwies auf die Darstellung im jeweiligen Rechtshil- feersuchen (act. 1.3, 1.4; Verfahrensakten BA, unpaginiert, Eintretensverfü- gung vom 10. Juli 2019). Die Ausführungen in der Schlussverfügung und der Eintretensverfügung zum in den beiden Ersuchen dargestellten Sachverhalt sind zwar ähnlich, jedoch nicht identisch. Aufgrund der von der Beschwerde- kammer behandelten Beschwerdeverfahren im Zusammenhang mit der um- fangreichen in Brasilien geführten Untersuchung «Operation Lava-Jato» kann nicht ausgeschlossen werden, dass es sich um ein eigenständiges Rechtshilfeersuchen derselben Generalstaatsanwaltschaft handeln könnte. Die Tatsache, dass die Beschwerdegegnerin die beiden Rechtshilfeersu- chen unter verschiedenen Verfahrensnummern führt (vgl. Sachverhalt Bst. A und B), deutet eher auf das Vorliegen zweier unabhängiger Ersuchen hin. Ausserdem verhält sich die Beschwerdegegnerin inkohärent, wenn sie den Beschwerdeführern die Akteneinsicht in das ursprüngliche Ersuchen aus dem Jahr 2019 verweigert, obschon es sich beim Ersuchen vom 14. August 2020 ihren Ausführungen nach lediglich um eine Ergänzung des Ersuchens vom 13. März 2019 handeln soll. Als eine Ergänzung würde das Ersuchen vom 14. August 2020 integralen Bestandteil des ursprünglichen Ersuchens vom 13. März 2019 bilden, das mit dem ersten Ersuchen in unmittelbarem Zusammenhang stünde. Weshalb den Beschwerdeführern die Einsicht in die entsprechende Eintretensverfügung, jedoch nicht in das Ersuchen selbst</w:t>
      </w:r>
    </w:p>
    <w:p>
      <w:r>
        <w:t>- 10 -</w:t>
      </w:r>
    </w:p>
    <w:p>
      <w:r>
        <w:t>Einsicht gewährt wird, ist nicht nachvollziehbar. Die Rüge der Verletzung des rechtlichen Gehörs ist demnach in dieser Hinsicht begründet.</w:t>
      </w:r>
    </w:p>
    <w:p>
      <w:r>
        <w:rPr>
          <w:b/>
        </w:rPr>
        <w:t>E. 4.6</w:t>
      </w:r>
    </w:p>
    <w:p>
      <w:r>
        <w:t>Ausserdem umfasst das Akteneinsichtsrecht alle Unterlagen, welche für den Entscheid der ersuchten Behörde relevant sein können (BGE 132 V 387 E. 3.1; Urteil des Bundesgerichts 8C_631/2014 vom 16. Dezember 2014 E. 4.2.1.1; statt vieler Entscheid des Bundesstrafgerichts RR.2018.240 vom 12. Dezember 2018 E. 3.2; POPP, Grundzüge der internationalen Rechtshilfe in Strafsachen, 2001, S. 315 N. 463). Damit kommt es nicht darauf an, auf welche Unterlagen die Beschwerdegegnerin ihre Schlussverfügungen tat- sächlich gestützt hat resp. zu stützen beabsichtigte. Die Beschwerdegegne- rin hatte sowohl das Ersuchen vom 14. August 2020 als auch deren Beilagen zum Vollzug erhalten. Bei ihrem Entscheid, ob das Rechtshilfeersuchen vom 14. August 2020 den formellen und materiellen Anforderungen entspricht, ob der darin dargestellte Sachverhalt mit den Beilagen übereinstimmt und in welchem Umfang die Rechtshilfe zu gewähren ist, hatte die Beschwerdegeg- nerin auch die ihr eingereichten Beilagen zum Ersuchen zu berücksichtigen. Dies selbst dann, wenn sie in den Schlussverfügungen auf die Beilagen des Ersuchens nicht explizit Bezug nahm. Soweit aus dem Ersuchen hervorgeht, betreffen diese Beilagen unter anderem die Einvernahme eines Mitbeschul- digten, die beim Beschwerdeführer 1 durchgeführte Beschlagnahme und das von ihm unterzeichnete «accord de corruption» (Verfahrensakten BA, un- paginiert, Rechtshilfeersuchen vom 14. August 2020). Wie bereits erwähnt, äusserte sich die Beschwerdegegnerin in den Schlussverfügungen zum Sachverhalt lediglich rudimentär und verwies auf die Ausführungen im Ersu- chen, mithin auch auf die darin erwähnten Beilagen. Unter diesen Umstän- den konnten sich die Beschwerdeführer zum Ersuchen vom 14. August 2020 nicht abschliessend äussern. Deshalb ist auch diese Rüge der Gehörsver- letzung begründet.</w:t>
      </w:r>
    </w:p>
    <w:p>
      <w:r>
        <w:rPr>
          <w:b/>
        </w:rPr>
        <w:t>E. 4.7</w:t>
      </w:r>
    </w:p>
    <w:p>
      <w:r>
        <w:t>Gestützt auf das Gesagte ist eine zweifache Verletzung des Anspruchs auf rechtliches Gehör festzustellen. Da die Beschwerdegegnerin den Beschwer- deführern auch im vorliegenden Verfahren weder in das Ersuchen vom 13. März 2019 noch in die Beilagen zum Ersuchen vom 14. August 2020 Einsicht gewährte, fällt eine Heilung der Verletzungen von vornherein ausser Betracht (supra E. 4.3.2). Die angefochtenen Schlussverfügungen sind des- halb aufzuheben. Bei diesem Ergebnis kann dahin gestellt bleiben, ob die Beschwerdegegnerin ihrer Begründungspflicht ausreichend nachgekommen ist und die Verfügungen auch aus diesem Grund aufzuheben wären.</w:t>
      </w:r>
    </w:p>
    <w:p>
      <w:r>
        <w:t>- 11 -</w:t>
      </w:r>
    </w:p>
    <w:p>
      <w:r>
        <w:rPr>
          <w:b/>
        </w:rPr>
        <w:t>E. 5</w:t>
      </w:r>
    </w:p>
    <w:p>
      <w:r>
        <w:t>Nach dem Gesagten ist die Beschwerde gutzuheissen. Die Schlussverfü- gungen vom 28. Mai 2021 sind aufzuheben und zur Neubeurteilung an die Beschwerdegegnerin zurückzuweisen.</w:t>
      </w:r>
    </w:p>
    <w:p>
      <w:r>
        <w:rPr>
          <w:b/>
        </w:rPr>
        <w:t>E. 6.1</w:t>
      </w:r>
    </w:p>
    <w:p>
      <w:r>
        <w:t>Bei diesem Ausgang des Verfahrens haben die Beschwerdeführer vollum- fänglich obsiegt. Es sind keine Gerichtskosten zu erheben (vgl. Art. 63 Abs. 3 VwVG i.V.m. Art. 12 Abs. 1 IRSG, Art. 39 Abs. 2 lit. b StBOG und Art. 37 Abs. 2 lit. a StBOG). Die Kasse des Bundesstrafgerichts ist anzuwei- sen, den Beschwerdeführern den von ihnen geleisteten Kostenvorschuss von Fr. 6'000.-- vollumfänglich zurückzuerstatten.</w:t>
      </w:r>
    </w:p>
    <w:p>
      <w:r>
        <w:rPr>
          <w:b/>
        </w:rPr>
        <w:t>E. 6.2</w:t>
      </w:r>
    </w:p>
    <w:p>
      <w:r>
        <w:t>Gemäss Praxis der Beschwerdekammer wird den Beschwerdeführern eine Entschädigung zugesprochen, wenn die Verletzung des rechtlichen Gehörs durch die Vorinstanz im Beschwerdeverfahren nicht geheilt werden kann (TPF 2008 172 E. 7.2). Diese richtet sich nach Art. 12 des Reglements des Bundesstrafgerichts vom 31. August 2010 über die Kosten, Gebühren und Entschädigungen in Bundesstrafverfahren ([BStKR; SR 173.713.162]; Ent- scheid des Bundesstrafgerichts RR.2011.155 vom 6. September 2011 E. 6.3). Nachdem der Rechtsvertreter der Beschwerdeführer dem Gericht keine Kostennote eingereicht hat, ist den Beschwerdeführern eine pauschale Prozessentschädigung von Fr. 2'000.-- (inkl. MwSt.) zuzusprechen (vgl. Art. 64 Abs. 1 und 2 VwVG; Art. 73 Abs. 1 lit. c StBOG i.V.m. Art.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