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RR.2021.128 vom 1. Juli 2021</w:t>
      </w:r>
    </w:p>
    <w:p>
      <w:r>
        <w:t>Bundesstrafgericht, 2021-07-01, FR</w:t>
      </w:r>
    </w:p>
    <w:p>
      <w:r>
        <w:rPr>
          <w:b/>
        </w:rPr>
        <w:t xml:space="preserve">Quelle: </w:t>
      </w:r>
      <w:r>
        <w:t>https://mcp.opencaselaw.ch/entscheid/bstger_RR.2021.128</w:t>
      </w:r>
    </w:p>
    <w:p>
      <w:r>
        <w:t>FR: TPF RR.2021.128 du 1 juillet 2021</w:t>
      </w:r>
    </w:p>
    <w:p>
      <w:r>
        <w:t>IT: TPF RR.2021.128 del 1 luglio 2021</w:t>
      </w:r>
    </w:p>
    <w:p>
      <w:pPr>
        <w:pStyle w:val="Heading2"/>
      </w:pPr>
      <w:r>
        <w:t>Regeste</w:t>
      </w:r>
    </w:p>
    <w:p>
      <w:r>
        <w:t>Entraide judiciaire internationale en matière pénale aux Pays-Bas. Saisie de valeurs (art. 80e al. 2 let. a EIMP).</w:t>
      </w:r>
    </w:p>
    <w:p>
      <w:pPr>
        <w:pStyle w:val="Heading2"/>
      </w:pPr>
      <w:r>
        <w:t>Volltext</w:t>
      </w:r>
    </w:p>
    <w:p>
      <w:r>
        <w:t>Arrêt du 1er juillet 2021 Cour des plaintes Composition</w:t>
      </w:r>
    </w:p>
    <w:p>
      <w:r>
        <w:t>Les juges pénaux fédéraux Cornelia Cova, vice-présidente, Miriam Forni et Giorgio Bomio-Giovanascini, la greffière Claude-Fabienne Husson Albertoni</w:t>
      </w:r>
    </w:p>
    <w:p>
      <w:r>
        <w:t>Parties</w:t>
      </w:r>
    </w:p>
    <w:p>
      <w:r>
        <w:t>A., représenté par Me Giovanni Molo, avocat, recourant</w:t>
      </w:r>
    </w:p>
    <w:p>
      <w:r>
        <w:t>contre</w:t>
      </w:r>
    </w:p>
    <w:p>
      <w:r>
        <w:t>MINISTÈRE PUBLIC CENTRAL DU CANTON DE VAUD, partie adverse</w:t>
      </w:r>
    </w:p>
    <w:p>
      <w:r>
        <w:t>Objet</w:t>
      </w:r>
    </w:p>
    <w:p>
      <w:r>
        <w:t>Entraide judiciaire internationale en matière pénale aux Pays-Bas</w:t>
      </w:r>
    </w:p>
    <w:p>
      <w:r>
        <w:t>Saisie de valeurs (art. 80e al. 2 let. a EIMP)</w:t>
      </w:r>
    </w:p>
    <w:p>
      <w:r>
        <w:t>B u n d e s s t r a f g e r i c h t T r i b u n a l p é n a l f é d é r a l T r i b u n a l e p e n a l e f e d e r a l e T r i b u n a l p e n a l f e d e r a l</w:t>
      </w:r>
    </w:p>
    <w:p>
      <w:r>
        <w:t>Numéro de dossier: RR.2021.128</w:t>
      </w:r>
    </w:p>
    <w:p>
      <w:r>
        <w:t>- 2 -</w:t>
      </w:r>
    </w:p>
    <w:p>
      <w:r>
        <w:t>La Cour des plaintes, vu:</w:t>
      </w:r>
    </w:p>
    <w:p>
      <w:r>
        <w:t>- le mandat de perquisition rendu par le Ministère public central du canton de Vaud le 11 juin 2021 dans le cadre de l’exécution d’une demande d’entraide adressée par les Pays-Bas à la Suisse aux termes de laquelle l’autorité requérante demandait l’exécution d’une perquisition au domicile de A. ressortissant hollandais, au Tessin (act. 1.1),</w:t>
      </w:r>
    </w:p>
    <w:p>
      <w:r>
        <w:t>- le procès-verbal de dite perquisition effectuée chez A. le 16 juin 2021 (act. 1.2),</w:t>
      </w:r>
    </w:p>
    <w:p>
      <w:r>
        <w:t>- le recours déposé le 28 juin 2021 par A. devant la Cour des plaintes du Tribunal pénal fédéral (ci-après: la Cour) aux termes duquel il conclut à l’admission de son recours et à la levée du séquestre prononcé sur un récipient jaune contenant 190 pièces d’or Krugerrand, sous suite de frais et dépens,</w:t>
      </w:r>
    </w:p>
    <w:p>
      <w:r>
        <w:t>et considèrant que:</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RR.2008.209 du 14 janvier 2009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w:t>
      </w:r>
    </w:p>
    <w:p>
      <w:r>
        <w:t>pour le surplus, la loi fédérale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 le droit interne s’appliquant en outre lorsqu'il est</w:t>
      </w:r>
    </w:p>
    <w:p>
      <w:r>
        <w:t>- 3 -</w:t>
      </w:r>
    </w:p>
    <w:p>
      <w:r>
        <w:t>plus favorable à l'entraide (ATF 142 IV 250 consid. 3; 140 IV 123 consid. 2; 137 IV 33 consid. 2.2.2), l'application de la norme la plus favorable (principe dit « de faveur ») devant avoir lieu dans le respect des droits fondamentaux (ATF 135 IV 212 consid. 2.3);</w:t>
      </w:r>
    </w:p>
    <w:p>
      <w:r>
        <w:t>la Cour des plaintes du Tribunal pénal fédéral est compétente pour connaître des recours dirigés contre les décisions incidentes antérieures à la décision de clôture de la procédure d’entraide rendues par l’autorité cantonale d’exécution (art. 37 al. 2 let. a de la loi fédérale sur l’organisation des autorités pénales de la Confédération [LOAP; RS 173.71] cum art. 25 al. 1 et 80e al. 2 EIMP);</w:t>
      </w:r>
    </w:p>
    <w:p>
      <w:r>
        <w:t>à teneur de l’art. 80e al. 2 EIMP, les décisions incidentes antérieures à la décision de clôture ne sont attaquables séparément qu'en cas de préjudice immédiat et irréparable découlant de la saisie d'objets ou de valeurs (let. a);</w:t>
      </w:r>
    </w:p>
    <w:p>
      <w:r>
        <w:t>la notion de préjudice immédiat et irréparable au sens de l’art. 80e al. 2 EIMP doit être interprétée de manière restrictive (arrêts du Tribunal pénal fédéral RR.2018.90-92 du 29 mars 2018; RR.2007.131 du 27 novembre 2007 consid. 2.1 et la jurisprudence citée);</w:t>
      </w:r>
    </w:p>
    <w:p>
      <w:r>
        <w:t>le prononcé d’un séquestre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w:t>
      </w:r>
    </w:p>
    <w:p>
      <w:r>
        <w:t>en particulier, il incombe au plaideur d'indiquer, dans l'acte de recours, en quoi consiste le préjudice prétendument subi et pourquoi ce préjudice ne serait pas totalement prévenu par un arrêt annulant, le cas échéant, la décision de clôture qui interviendra ultérieurement; un tel préjudice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(arrêts du Tribunal fédéral 1A.206/2001 du 9 janvier 2002</w:t>
      </w:r>
    </w:p>
    <w:p>
      <w:r>
        <w:t>- 4 -</w:t>
      </w:r>
    </w:p>
    <w:p>
      <w:r>
        <w:t>consid. 2.2; 1A.39/2002 du 2 avril 2002 consid. 3; arrêts du Tribunal pénal fédéral RR.2015.319 du 7 janvier 2016; RR.2007.126 du 26 septembre 2007 consid. 2.3); de même, le recourant doit rendre vraisemblable qu'il ne dispose pas d'autres ressources financières en suffisance pour faire face à ses obligations (cf. arrêt du Tribunal fédéral 1A.130/2006 du 28 juillet 2006 consid. 1.3; arrêt du Tribunal pénal fédéral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w:t>
      </w:r>
    </w:p>
    <w:p>
      <w:r>
        <w:t>in casu, le recourant ne fait valoir aucun argument pouvant étayer l’existence d’un préjudice immédiat et irréparable que lui occasionnerait la saisie des pièces d’or concernées;</w:t>
      </w:r>
    </w:p>
    <w:p>
      <w:r>
        <w:t>de fait, il se limite à indiquer que les pièces en cause n’ont rien à voir avec l’objet de la demande d’entraide (act. 1);</w:t>
      </w:r>
    </w:p>
    <w:p>
      <w:r>
        <w:t>ces développements ne peuvent lui être ici d’aucun secours tant il est vrai que l’examen de la question de la proportionnalité afférente aux objets saisis ne peut se faire que dans le cadre d’un examen au fond, ce qui ne peut être le cas à ce stade;</w:t>
      </w:r>
    </w:p>
    <w:p>
      <w:r>
        <w:t>en définitive, force est de constater, que le recourant ne subit aucun préjudice immédiat et irréparable;</w:t>
      </w:r>
    </w:p>
    <w:p>
      <w:r>
        <w:t>il en résulte que le recours doit être déclaré irrecevable;</w:t>
      </w:r>
    </w:p>
    <w:p>
      <w:r>
        <w:t>au vu de la conclusion qui précède, la Cour de céans a renoncé à procéder à un échange d'écritures (art. 57 al. 1 PA);</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LOAP); en tant que partie qui succombe, le recourant doit supporter les frais du présent arrêt (art. 63 al. 1 PA applicable par renvoi à l’art. 39 al. 2 let. b LOAP), lesquels sont fixés à CHF 2’000.-- (v. art. 8 al. 3 let. b du règlement du Tribunal pénal fédéral sur les frais, émoluments, dépens, et indemnités de la procédure pénale fédérale [RFPPF; RS 173.713.162] et art. 63 al. 4bis let. b PA).</w:t>
      </w:r>
    </w:p>
    <w:p>
      <w:r>
        <w:t>- 5 -</w:t>
      </w:r>
    </w:p>
    <w:p>
      <w:r>
        <w:t>Par ces motifs, la Cour des plaintes prononce:</w:t>
      </w:r>
    </w:p>
    <w:p>
      <w:r>
        <w:t>1. Le recours est irrecevable.</w:t>
      </w:r>
    </w:p>
    <w:p>
      <w:r>
        <w:t>2. Un émolument de CHF 2’000.-- est mis à la charge du recourant.</w:t>
      </w:r>
    </w:p>
    <w:p>
      <w:r>
        <w:t>Bellinzone, le 1er juillet 2021</w:t>
      </w:r>
    </w:p>
    <w:p>
      <w:r>
        <w:t>Au nom de la Cour des plaintes du Tribunal pénal fédéral</w:t>
      </w:r>
    </w:p>
    <w:p>
      <w:r>
        <w:t>La vice-présidente: La greffière:</w:t>
      </w:r>
    </w:p>
    <w:p>
      <w:r>
        <w:t>Distribution</w:t>
      </w:r>
    </w:p>
    <w:p>
      <w:r>
        <w:t>- Me Giovanni Molo, avocat - Ministère public central du canton de Vaud, Division criminalité économique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