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RR.2021.125 vom 11. November 2021</w:t>
      </w:r>
    </w:p>
    <w:p>
      <w:r>
        <w:t>Bundesstrafgericht, 2021-11-11, FR</w:t>
      </w:r>
    </w:p>
    <w:p>
      <w:r>
        <w:rPr>
          <w:b/>
        </w:rPr>
        <w:t xml:space="preserve">Quelle: </w:t>
      </w:r>
      <w:r>
        <w:t>https://mcp.opencaselaw.ch/entscheid/bstger_RR.2021.125</w:t>
      </w:r>
    </w:p>
    <w:p>
      <w:r>
        <w:t>FR: TPF RR.2021.125 du 11 novembre 2021</w:t>
      </w:r>
    </w:p>
    <w:p>
      <w:r>
        <w:t>IT: TPF RR.2021.125 del 11 novembre 2021</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La Cour des plaintes du Tribunal pénal fédéral est compétente pour connaître des recours dirigés contre les décisions de clôture de la procédure d'entraide rendues par les autorités cantonales ou fédérales d'exécution et,</w:t>
      </w:r>
    </w:p>
    <w:p>
      <w:r>
        <w:t>- 5 -</w:t>
      </w:r>
    </w:p>
    <w:p>
      <w:r>
        <w:t>conjointement, contre les décisions incidentes (art. 25 al. 1 et 80e al. 1 EIMP, mis en relation avec l'art. 37 al. 2 let. a ch. 1 de la loi fédérale sur l'organisation des autorités pénales de la Confédération [LOAP; RS 173.71]).</w:t>
      </w:r>
    </w:p>
    <w:p>
      <w:r>
        <w:rPr>
          <w:b/>
        </w:rPr>
        <w:t>E. 2.1</w:t>
      </w:r>
    </w:p>
    <w:p>
      <w:r>
        <w:t>L'entraide judiciaire entre la République française et la Confédération suisse est prioritairement régie par la Convention européenne d'entraide judiciaire en matière pénale du 20 avril 1959 (CEEJ; RS 0.351.1), entrée en vigueur pour la Suisse le 20 mars et pour la France le 21 août 1967, ainsi que par le Deuxième Protocole additionnel à ladite Convention, entré en vigueur pour la Suisse le 1er février 2005 et pour l'Etat requérant le 1er juin 2012 (RS 0.351.12) et par l'Accord entre le Conseil fédéral suisse et le Gouvernement de la République française en vue de compléter la CEEJ (Accord bilatéral; RS 0.351.934.92), conclu le 28 octobre 1996 et en vigueur depuis le 1er mai 2000. Peuvent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w:t>
      </w:r>
    </w:p>
    <w:p>
      <w:r>
        <w:rPr>
          <w:b/>
        </w:rPr>
        <w:t>E. 2.2</w:t>
      </w:r>
    </w:p>
    <w:p>
      <w:r>
        <w:t>Les dispositions de ces traités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ou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3</w:t>
      </w:r>
    </w:p>
    <w:p>
      <w:r>
        <w:t>La Cour de céans examine d'office la recevabilité des recours qui lui sont adressés (cf. par exemple arrêt du Tribunal pénal fédéral RR.2016.127 du 11 octobre 2016 consid. 3).</w:t>
      </w:r>
    </w:p>
    <w:p>
      <w:r>
        <w:t>- 6 -</w:t>
      </w:r>
    </w:p>
    <w:p>
      <w:r>
        <w:rPr>
          <w:b/>
        </w:rPr>
        <w:t>E. 3.1</w:t>
      </w:r>
    </w:p>
    <w:p>
      <w:r>
        <w:t>Formé dans les trente jours à compter de la notification de la décision attaquée, le recours a été déposé en temps utile (v. art. 80k EIMP).</w:t>
      </w:r>
    </w:p>
    <w:p>
      <w:r>
        <w:rPr>
          <w:b/>
        </w:rPr>
        <w:t>E. 3.2</w:t>
      </w:r>
    </w:p>
    <w:p>
      <w:r>
        <w:t>A teneur de l'art. 80h let. b EIMP, a qualité pour recourir quiconque est personnellement et directement touché par une mesure d'entraide et a un intérêt digne de protection à ce qu'elle soit annulée ou modifiée. En application de l'art. 9a let. b OEIMP, en cas de perquisition de papiers, seul le détenteur des documents, à savoir le propriétaire ou le locataire des locaux perquisitionnés dans lesquels se trouvent les documents séquestrés est habilité à recourir (arrêts du Tribunal pénal fédéral RR.2011.113 du 28 juillet 2011 consid. 1.4; RR.2010.291 du 22 mars 2011 consid. 1.2).</w:t>
      </w:r>
    </w:p>
    <w:p>
      <w:r>
        <w:rPr>
          <w:b/>
        </w:rPr>
        <w:t>E. 3.3</w:t>
      </w:r>
    </w:p>
    <w:p>
      <w:r>
        <w:t>En l'occurrence, les documents à transmettre ont été saisis chez la recourante lors de la perquisition effectuée à son domicile. Elle dispose donc incontestablement de la qualité pour recourir.</w:t>
      </w:r>
    </w:p>
    <w:p>
      <w:r>
        <w:rPr>
          <w:b/>
        </w:rPr>
        <w:t>E. 3.4</w:t>
      </w:r>
    </w:p>
    <w:p>
      <w:r>
        <w:t>Au vu de ce qui précède, le recours est recevable et il y a lieu d'entrer en matière.</w:t>
      </w:r>
    </w:p>
    <w:p>
      <w:r>
        <w:rPr>
          <w:b/>
        </w:rPr>
        <w:t>E. 4</w:t>
      </w:r>
    </w:p>
    <w:p>
      <w:r>
        <w:t>La recourante invoque essentiellement une violation du principe de la proportionnalité en lien avec plusieurs documents qu’elle considère comme étant non pertinents pour les autorités requérantes.</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139 II 404 consid. 7.2.2;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t>- 7 -</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aussi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l’État requérant (arrêt du Tribunal pénal fédéral RR.2019.172+173 précité consid. 3.1 et références citées; ZIMMERMANN, La coopération judiciaire internationale en matière pénale, 5e éd. 2019, n° 723, p. 798 ss). En outre, 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(v. ég. art. 171 CPP). L'art. 13 de la loi fédérale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 Cette protection trouve sa raison d'être dans le rapport de confiance particulier liant l'avocat et son client, qui doit pouvoir se fier entièrement à la discrétion de son mandataire (ATF 115 Ia 197 consid. 3d/aa; ATF 117 Ia 341 consid. 6a/bb; arrêt du Tribunal fédéral 8G.9/2004 du 23 mars 2004 consid. 9.1 et la référence citée). Le secret professionnel ne couvre</w:t>
      </w:r>
    </w:p>
    <w:p>
      <w:r>
        <w:t>- 8 -</w:t>
      </w:r>
    </w:p>
    <w:p>
      <w:r>
        <w:t>cependant que l'activité professionnelle spécifique de l'avocat (sur cette notion et sa portée voir notamment l’arrêt du Tribunal pénal fédéral du 9 août 2021 consid. 3.4 et 3.5).</w:t>
      </w:r>
    </w:p>
    <w:p>
      <w:r>
        <w:rPr>
          <w:b/>
        </w:rPr>
        <w:t>E. 4.2</w:t>
      </w:r>
    </w:p>
    <w:p>
      <w:r>
        <w:t>Plus spécifiquement, la recourante retient d’abord (act. 1 nos 26 à 28) que c’est à tort que le MPC a estimé que des fichiers de messagerie concernant une facture de carte de crédit de D. relevaient du secret d’avocat. Il n’en demeure pas moins qu’elle conteste leur transmission considérant qu’ils ne sont pas pertinents. Ainsi que le relève la recourante, le document en question n’apparaît pas couvert par le secret professionnel de l’avocat. Il s’agit d’un courriel adressé par une collaboratrice de la recourante à la banque O. afin de procéder au paiement d’une facture d’une carte de crédit de D. qui lui avait été adressée à elle. En revanche, contrairement à ce qu’elle soutient, ce document est pertinent pour les autorités requérantes en tant qu’il permet d’établir quelles étaient les relations entre elle-même et D., lui aussi visé par la demande d’entraide, en mars 2014, période sous enquête, de même que les lieux où se trouvait ce dernier à l’époque. Le grief est écarté.</w:t>
      </w:r>
    </w:p>
    <w:p>
      <w:r>
        <w:rPr>
          <w:b/>
        </w:rPr>
        <w:t>E. 4.3</w:t>
      </w:r>
    </w:p>
    <w:p>
      <w:r>
        <w:t>La recourante considère par ailleurs (act. 1 no 29) que certaines données sont relatives à d’autres clients qui ne sont pas visés par la demande d’entraide:</w:t>
      </w:r>
    </w:p>
    <w:p>
      <w:r>
        <w:rPr>
          <w:b/>
        </w:rPr>
        <w:t>E. 4.3.1</w:t>
      </w:r>
    </w:p>
    <w:p>
      <w:r>
        <w:t>Pour une première catégorie de trois fichiers de messagerie qui concernent des échanges de mails relatifs à des ordres de vente passés par la recourante à la banque O. sur le titre E. le 6 décembre 2012, la recourante s’en remet à justice.</w:t>
      </w:r>
    </w:p>
    <w:p>
      <w:r>
        <w:t>Dans la mesure où il s’agit ici d’échanges de courriels visant des transactions passées par le représentant de la recourante expressément visées par la demande d’entraide, pendant la période durant laquelle les infractions sont suspectées d’avoir été réalisées (du 1er octobre 2012 au 30 septembre 2014), sur des titres faisant l’objet des investigations françaises, il est incontestable que ces documents sont pertinents pour l’autorité requérante et doivent dès lors être transmis.</w:t>
      </w:r>
    </w:p>
    <w:p>
      <w:r>
        <w:rPr>
          <w:b/>
        </w:rPr>
        <w:t>E. 4.3.2</w:t>
      </w:r>
    </w:p>
    <w:p>
      <w:r>
        <w:t>Les fichiers suivants sont 21 courriels concernant la participation de la recourante dans des investissements immobiliers gérés par la société française P. impliquant C. et D. La recourante fait valoir (act. 1 nos 30 à 32) que le MPC va au-delà de la demande d’entraide à cet égard dans la mesure où ces investissements ne sont aucunement liés aux flux de fonds corrélés aux opérations sous enquête. Elle relève en outre que ces documents n’ont pas été demandés par l’autorité requérante.</w:t>
      </w:r>
    </w:p>
    <w:p>
      <w:r>
        <w:t>- 9 -</w:t>
      </w:r>
    </w:p>
    <w:p>
      <w:r>
        <w:t>Les documents en question portent en effet notamment sur des échanges de courriels visant à la signature de certains documents, à l’indication de comptes sur lesquels des versements doivent être effectués, à la confirmation de l’acquisitions d’actions immédiatement nanties en garantie d’émissions obligataires en lien avec des investissements immobiliers gérés par une société française, P. Ces documents étaient adressés à C. pour la recourante, laquelle en a notamment acheté des actions et ce principalement en mars 2014. Les documents en question paraissent pertinents afin de déterminer de quelle manière la recourante utilisait ses fonds à une époque correspondant à celle où les infractions auraient été réalisées. Le grief est rejeté.</w:t>
      </w:r>
    </w:p>
    <w:p>
      <w:r>
        <w:rPr>
          <w:b/>
        </w:rPr>
        <w:t>E. 4.3.3</w:t>
      </w:r>
    </w:p>
    <w:p>
      <w:r>
        <w:t>La recourante conteste ensuite que trois fichiers de messagerie qui concernent la prise d’un rendez-vous entre C., un certain Q. d’une société d’investissement et l’un de ses clients R. puissent avoir un quelconque lien avec les opérations sous enquête; selon elle, ils doivent donc être écartés de la transmission (act. 1 no 33). Le MPC retient quant à lui que dans la mesure où R. aurait, selon la demande d’entraide, bénéficié des opérations suspectes effectuées par la recourante, ces documents sont d’intérêt pour l’autorité requérante et doivent lui être remis.</w:t>
      </w:r>
    </w:p>
    <w:p>
      <w:r>
        <w:t>Le document querellé consiste en un courriel adressé par C. à Q. le 10 mars 2014 afin de l’informer d’un contretemps pour une conférence téléphonique fixée le même jour et lui demander s’il lui est possible de la repousser au lendemain à 17h00. Dans la mesure où R. a été expressément visé par la demande d’entraide vu son achat de CFD en avril 2014, l’échange électronique concerné établissant un lien entre C. et Q. à l’époque des infractions concernées doit être tenu pour pertinent et remis aux autorités françaises. Partant, le grief est écarté.</w:t>
      </w:r>
    </w:p>
    <w:p>
      <w:r>
        <w:rPr>
          <w:b/>
        </w:rPr>
        <w:t>E. 4.3.4</w:t>
      </w:r>
    </w:p>
    <w:p>
      <w:r>
        <w:t>La recourante s’oppose également à la transmission d’une facture annuelle qui lui a été adressée par le cabinet d’avocats S. relative à plusieurs sociétés au nombre desquelles T. SA. Elle soutient d’abord à cet égard que S. est un cabinet d’avocats et que la pièce en question est couverte par le secret d’avocat. Par ailleurs, d’autres actes déjà transmis attestent du fait que T. SA est liée à D. visé par la demande d’entraide de sorte que ce document ne saurait apporter aucune information supplémentaire à l’autorité requérante (act. 1 no 34).</w:t>
      </w:r>
    </w:p>
    <w:p>
      <w:r>
        <w:t>La facture en question de mars 2014 émane certes d’un cabinet d’avocats, toutefois, rien ne permet de conclure que ce dernier a déployé en l’espèce une activité typique de l’avocat couverte par le secret professionnel. Il apparaît au contraire que son activité visait principalement la gestion des</w:t>
      </w:r>
    </w:p>
    <w:p>
      <w:r>
        <w:t>- 10 -</w:t>
      </w:r>
    </w:p>
    <w:p>
      <w:r>
        <w:t>diverses sociétés qui sont listées sur la facture. A ce titre, ce document ne saurait bénéficier d’une protection particulière. En outre, dans la mesure où T. SA, dont D. – directement visé par la demande d’entraide – est l’ayant droit économique, est mentionnée dans la pièce en question, cette dernière est indubitablement d’intérêt pour l’autorité requérante. Partant le grief est rejeté.</w:t>
      </w:r>
    </w:p>
    <w:p>
      <w:r>
        <w:rPr>
          <w:b/>
        </w:rPr>
        <w:t>E. 4.3.5</w:t>
      </w:r>
    </w:p>
    <w:p>
      <w:r>
        <w:t>La recourante s’élève en outre contre la transmission de certaines données qui ne seraient pas lisibles. Le MPC considère cependant que deux d’entre elles doivent quand même être remises :</w:t>
      </w:r>
    </w:p>
    <w:p>
      <w:r>
        <w:rPr>
          <w:b/>
        </w:rPr>
        <w:t>E. 4.3.5.1</w:t>
      </w:r>
    </w:p>
    <w:p>
      <w:r>
        <w:t>Pour le fichier 2 et son annexe 3, la recourante s’en remet à justice (act. 1 no 35).</w:t>
      </w:r>
    </w:p>
    <w:p>
      <w:r>
        <w:t>Il s’agit in casu d’un e-mail adressé le 16 décembre 2013 par une collaboratrice de la recourante à C. concernant le titre G. En annexe audit courriel figure un tableau Excel listant les ordres d’achat et de vente passés sur ce titre via les courtiers AA. et BB. Etant donné que ce document concerne les actions visées par la demande d’entraide durant la période topique de réalisation des infractions investiguées, leur remise est parfaitement justifiée.</w:t>
      </w:r>
    </w:p>
    <w:p>
      <w:r>
        <w:rPr>
          <w:b/>
        </w:rPr>
        <w:t>E. 4.3.5.2</w:t>
      </w:r>
    </w:p>
    <w:p>
      <w:r>
        <w:t>Ensuite le fichier 4 se rapporte à un courriel adressé à C. et R. de juillet 2013 relatif à la tenue d’un compte ouvert en lien avec des CFD au nom de la société CC. Ltd et impliquant les sociétés D. Ltd ainsi que EE. Ltd. La recourante relève entre autres que cela concerne d’autres clients que ceux visés par la demande d’entraide et que partant il ne doit pas être transmis (act. 1 nos 36 et 37).</w:t>
      </w:r>
    </w:p>
    <w:p>
      <w:r>
        <w:t>Ainsi que le relève le MPC, d’une part, EE. Ltd se présente elle-même comme un fournisseur mondial de services de négociations sur les CFD. Or, ces derniers ont servi dans la présente affaire aux opérations suspectes. En outre, sont concernés par cette ouverture de compte tant C. que R. objets des investigations françaises. Ces documents permettront donc à l’autorité requérante, même s’il s’agit de sociétés tierces, d’analyser la stratégie d’investissement des personnes visées. Partant, cela scelle le sort de ce grief qui est écarté.</w:t>
      </w:r>
    </w:p>
    <w:p>
      <w:r>
        <w:rPr>
          <w:b/>
        </w:rPr>
        <w:t>E. 4.3.6</w:t>
      </w:r>
    </w:p>
    <w:p>
      <w:r>
        <w:t>La recourante conteste en outre la transmission de dix-huit fichiers qui concernent tous eux aussi la prise du rendez-vous précité entre R., C. et Q. (act. 1 no 38).</w:t>
      </w:r>
    </w:p>
    <w:p>
      <w:r>
        <w:t>Les considérations développées supra (consid. 4.3.3) valent également pour ces documents de sorte que le grief est rejeté.</w:t>
      </w:r>
    </w:p>
    <w:p>
      <w:r>
        <w:t>- 11 -</w:t>
      </w:r>
    </w:p>
    <w:p>
      <w:r>
        <w:rPr>
          <w:b/>
        </w:rPr>
        <w:t>E. 4.3.7</w:t>
      </w:r>
    </w:p>
    <w:p>
      <w:r>
        <w:t>Enfin, dans un argument général, la recourante s’oppose à ce que le MPC transmette des documents relatifs à des investissements effectués pour d’autres clients simplement car les opérations en question touchent les titres mis en cause dans les investigations françaises (FF., M., G. et GG.).</w:t>
      </w:r>
    </w:p>
    <w:p>
      <w:r>
        <w:t>Au-delà du fait que la recourante ne spécifie pas de quels documents il s’agit exactement, ce qui est contraire à son obligation de collaborer, elle ne saurait de toute façon être suivie. En effet, ces titres étant directement désignés dans les demandes d’entraide, ces données apparaissent pertinentes car elles permettront notamment de déterminer quelle était la stratégie d’investissement adoptée sur les titres concernés par les personnes visées par l’enquête française.</w:t>
      </w:r>
    </w:p>
    <w:p>
      <w:r>
        <w:rPr>
          <w:b/>
        </w:rPr>
        <w:t>E. 4.4</w:t>
      </w:r>
    </w:p>
    <w:p>
      <w:r>
        <w:t>Il résulte dès lors des considérations qui précèdent que le principe de la proportionnalité n’a pas été violé. Il n’y a pas en l’espèce non plus d’atteinte au domaine secret (art. 9 EIMP).</w:t>
      </w:r>
    </w:p>
    <w:p>
      <w:r>
        <w:rPr>
          <w:b/>
        </w:rPr>
        <w:t>E. 5</w:t>
      </w:r>
    </w:p>
    <w:p>
      <w:r>
        <w:t>Mal fondé, le recours est rejeté.</w:t>
      </w:r>
    </w:p>
    <w:p>
      <w:r>
        <w:rPr>
          <w:b/>
        </w:rPr>
        <w:t>E. 6</w:t>
      </w:r>
    </w:p>
    <w:p>
      <w:r>
        <w:t>Compte tenu de l'issue du litige, la recourante, qui succombe, supportera les frais de procédure sans pouvoir prétendre à des dépens (art. 63 al. 1 de la loi sur la procédure administrative [PA; RS 172.021], applicable par renvoi de l'art. 39 al. 2 let. b LOAP). Ces frais prendront en l'espèce la forme d'un émolument qui, en application des art. 5 et 8 du règlement du Tribunal pénal fédéral sur les frais, émoluments, dépens et indemnités de la procédure pénale fédérale (RS 173.713.162), sera fixé à CHF 5'000.--, montant couvert par l'avance de frais déjà versée (v. act. 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