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RR.2021.114 vom 17. Februar 2022</w:t>
      </w:r>
    </w:p>
    <w:p>
      <w:r>
        <w:t>Bundesstrafgericht, 2022-02-17, DE</w:t>
      </w:r>
    </w:p>
    <w:p>
      <w:r>
        <w:rPr>
          <w:b/>
        </w:rPr>
        <w:t xml:space="preserve">Quelle: </w:t>
      </w:r>
      <w:r>
        <w:t>https://mcp.opencaselaw.ch/entscheid/bstger_RR.2021.114</w:t>
      </w:r>
    </w:p>
    <w:p>
      <w:r>
        <w:t>FR: TPF RR.2021.114 du 17 février 2022</w:t>
      </w:r>
    </w:p>
    <w:p>
      <w:r>
        <w:t>IT: TPF RR.2021.114 del 17 febbraio 2022</w:t>
      </w:r>
    </w:p>
    <w:p>
      <w:pPr>
        <w:pStyle w:val="Heading2"/>
      </w:pPr>
      <w:r>
        <w:t>Regeste</w:t>
      </w:r>
    </w:p>
    <w:p>
      <w:r>
        <w:t>Auslieferung an Polen; Auslieferungsentscheid (Art. 55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(ZPI EAUe; SR 0.353.11) und vom 17. März 1978 (ZPII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agreements/EU-acts-register/8/8.1) i.V.m. dem Beschluss des Rates 2007/533/JI vom 12. Juni 2007 über die Einrichtung, den Betrieb und die Nutzung des Schengener Informationssystems der zweiten Generation (SIS II), namentlich Art. 26–31 (CELEX-Nr. 32007D0533; Abl. L 205 vom 7. Au- gust 2007, S. 63–84; abrufbar unter «Rechtssammlung zu den sektoriellen</w:t>
      </w:r>
    </w:p>
    <w:p>
      <w:r>
        <w:t>- 4 -</w:t>
      </w:r>
    </w:p>
    <w:p>
      <w:r>
        <w:t>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Anhang B) eine Weiterentwicklung des Schengen-Besitzstands darstellen.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internationale Rechtshilfe in Strafsachen (Rechtshilfegesetz, IRSG; SR 351.1) und die dazugehörige Verordnung vom 24. Februar 1982 (Rechtshilfeverordnung, IRSV; SR 351.11). Nach dem Günstigkeitsprinzip gelangt das innerstaatliche Recht auch dann zur Anwen- dung, wenn dieses geringere Anforderungen an die Rechtshilfe stellt (BGE 145 IV 294 E. 2.1; 142 IV 250 E. 3; 140 IV 123 E. 2).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29. April 2021 ist dem Beschwerdeführer am 20. Mai 2021 zugestellt worden, womit die Beschwerde am 21. Juni 2021 fristgerecht erhoben worden ist. Der Beschwerdeführer ist als Adressat des</w:t>
      </w:r>
    </w:p>
    <w:p>
      <w:r>
        <w:t>- 5 -</w:t>
      </w:r>
    </w:p>
    <w:p>
      <w:r>
        <w:t>Auslieferungsentscheids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4</w:t>
      </w:r>
    </w:p>
    <w:p>
      <w:r>
        <w:t>Aufl. 2017, Art. 5 EMRK N. 31), der einen Freiheitsentzug nach Verurtei- lung erlaubt. Eine solche liegt mit dem Urteil des Bezirksgerichts Bydgoszcz (Ref. III K 245/11) vom 18. Mai 2012 unbestritten vor.</w:t>
      </w:r>
    </w:p>
    <w:p>
      <w:r>
        <w:rPr>
          <w:b/>
        </w:rPr>
        <w:t>E. 4.1</w:t>
      </w:r>
    </w:p>
    <w:p>
      <w:r>
        <w:t>Der Beschwerdeführer anerkennt, dass er mit Urteil des Bezirksgerichts Bydgoszcz (Ref. III K 245/11) vom 18. Mai 2012 wegen Betäubungsmittel- delikten zu einer Freiheitsstrafe von 4 Jahren verurteilt worden ist. Am 27. Mai 2015 sei er mit Entscheid des Bezirksgerichts Zielona Góra (Ref. III Kow 1299/15) bedingt entlassen worden. Mit Beschluss des Bezirksgerichts Zielona Góra (Ref. III Kow 605/17) vom 8. Mai 2017 sei diese bedingte Ent- lassung widerrufen und die Vollstreckung des Rests der Freiheitsstrafe von</w:t>
      </w:r>
    </w:p>
    <w:p>
      <w:r>
        <w:rPr>
          <w:b/>
        </w:rPr>
        <w:t>E. 4.2</w:t>
      </w:r>
    </w:p>
    <w:p>
      <w:r>
        <w:t>In strafrechtlichen Angelegenheiten kommt Art. 6 EMRK – dessen Verlet- zung vom Beschwerdeführer im Beschwerdeverfahren nicht (mehr) explizit gerügt wird – in Verfahren zur Anwendung, in welchen «über die Stichhaltig- keit der gegen eine Person erhobenen strafrechtlichen Anklage» entschie- den wird. Entscheidungen, welche erst nach Rechtskraft der Verurteilung an- fallen, betreffen nicht mehr die Stichhaltigkeit der Anklage. Dies gilt etwa für Verfahren, welche den Widerruf der Strafaussetzung oder die Strafvollstre- ckung zum Gegenstand haben (GOLLWITZER, Menschenrechte im Strafver- fahren MRK und IPBPR, 2005, Art. 6 EMRK N. 41 m.w.H.). Auch Art. 3 Ziff. 1</w:t>
      </w:r>
    </w:p>
    <w:p>
      <w:r>
        <w:t>- 6 -</w:t>
      </w:r>
    </w:p>
    <w:p>
      <w:r>
        <w:t>ZPII EAUe bezieht sich gemäss dem diesbezüglich klaren Wortlaut nur auf das dem Strafurteil vorangehende Verfahren (vgl. zuletzt u.a. Entscheid des Bundesstrafgerichts RR.2018.179 vom 4. September 2018 E. 6.2 m.w.H.). Die Voraussetzungen und das Verfahren des Widerrufs der bedingten Ent- lassung richten sich nach dem Recht des ersuchenden Staates, welches von der schweizerischen Rechtshilfebehörde grundsätzlich keiner Überprüfung zu unterziehen ist. Insbesondere ist nicht zu prüfen, ob im Zusammenhang mit dem Vollzug polnischer Strafurteile allenfalls prozessuale Grundrechte des Beschwerdeführers missachtet worden sein könnten (vgl. hierzu den Entscheid des Bundesstrafgerichts RR.2011.208 vom 8. November 2011 E. 5.2 m.w.H.). Auch sind die Umstände, welche zum Widerruf führten, im Rahmen des Auslieferungsverfahrens nicht zu prüfen. Beim Widerruf geht es nämlich um eine Modalität der Urteilsvollstreckung (vgl. Urteil des Bun- desgerichts 6S.39/2006 vom 11. Juli 2006 E. 2). Vor diesem Hintergrund ist auch die gerügte Verletzung des Art. 5 Ziff. 1 EMRK nicht auszumachen. Wird eine bedingte Entlassung widerrufen, ist der weitere Freiheitsentzug von Art. 5 Ziff. 1 lit. a EMRK gedeckt (MEYER-LADEWIG/HARRENDORF/KÖNIG, in: Meyer-Ladewig/Nettesheim/von Raumer [Hrsg.], Handkommentar,</w:t>
      </w:r>
    </w:p>
    <w:p>
      <w:r>
        <w:rPr>
          <w:b/>
        </w:rPr>
        <w:t>E. 4.3</w:t>
      </w:r>
    </w:p>
    <w:p>
      <w:r>
        <w:t>Damit erweist sich die Beschwerde als unbegründet. Sie ist abzuweisen.</w:t>
      </w:r>
    </w:p>
    <w:p>
      <w:r>
        <w:rPr>
          <w:b/>
        </w:rPr>
        <w:t>E. 5.1</w:t>
      </w:r>
    </w:p>
    <w:p>
      <w:r>
        <w:t>Der Beschwerdeführer ersucht um unentgeltliche Rechtspflege (RP.2021.31,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5.3</w:t>
      </w:r>
    </w:p>
    <w:p>
      <w:r>
        <w:t>Die vorgebrachte Rüge des Beschwerdeführers geht ins Leere. Anhand des oben Ausgeführten muss die Beschwerde als aussichtslos im Sinne von</w:t>
      </w:r>
    </w:p>
    <w:p>
      <w:r>
        <w:t>- 7 -</w:t>
      </w:r>
    </w:p>
    <w:p>
      <w:r>
        <w:t>Art. 65 Abs. 1 VwVG bezeichnet werden. Demzufolge ist das Gesuch des Beschwerdeführers um unentgeltliche Rechtspflege abzuweisen. Bei der Festsetzung der Gerichtsgebühr kann gemäss Art. 5 des Reglements des Bundesstrafgerichts vom 31. August 2010 über die Kosten, Gebühren und Entschädigungen in Bundesstrafverfahren (BStKR; SR 173.713.162) der wo- möglich schwierigen finanziellen Situation des Beschwerdeführers Rech- nung getragen werden.</w:t>
      </w:r>
    </w:p>
    <w:p>
      <w:r>
        <w:rPr>
          <w:b/>
        </w:rPr>
        <w:t>E. 6</w:t>
      </w:r>
    </w:p>
    <w:p>
      <w:r>
        <w:t>Bei diesem Ausgang des Verfahrens sind die Gerichtskosten dem Be- schwerdeführer aufzuerlegen (vgl. Art. 63 Abs. 1 VwVG). Die Gerichtsgebühr ist auf Fr. 1'000.– festzusetzen (vgl.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