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RR.2021.109 vom 5. August 2021</w:t>
      </w:r>
    </w:p>
    <w:p>
      <w:r>
        <w:t>Bundesstrafgericht, 2021-08-05, IT</w:t>
      </w:r>
    </w:p>
    <w:p>
      <w:r>
        <w:rPr>
          <w:b/>
        </w:rPr>
        <w:t xml:space="preserve">Quelle: </w:t>
      </w:r>
      <w:r>
        <w:t>https://mcp.opencaselaw.ch/entscheid/bstger_RR.2021.109</w:t>
      </w:r>
    </w:p>
    <w:p>
      <w:r>
        <w:t>FR: TPF RR.2021.109 du 5 août 2021</w:t>
      </w:r>
    </w:p>
    <w:p>
      <w:r>
        <w:t>IT: TPF RR.2021.109 del 5 agosto 2021</w:t>
      </w:r>
    </w:p>
    <w:p>
      <w:pPr>
        <w:pStyle w:val="Heading2"/>
      </w:pPr>
      <w:r>
        <w:t>Regeste</w:t>
      </w:r>
    </w:p>
    <w:p>
      <w:r>
        <w:t>Assistenza giudiziaria internazionale in materia penale al Liechtenstein.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il Principato del Liech- tenstein e la Confederazione Svizzera sono anzitutto retti dalla Convenzione europea di assistenza giudiziaria in materia penale del 20 aprile 1959, entrata in vigore il 20 marzo 1967 per la Svizzera e il 26 gennaio 1970 per il Liechten- stein (CEAG; RS 0.351.1), così come dal Secondo Protocollo addizionale alla Convenzione europea di assistenza giudiziaria in materia penale entrato in vigore il 1° febbraio 2005 per la Svizzera e il 1° gennaio 2021 per il Liechtenstein (PAII CEAG; 0.351.12). Di rilievo per la fattispecie sono altresì gli art. 48 e segg. della Convenzione di applicazione dell'Accordo di Schengen del 14 giugno 1985 (CAS; non pubblicata nella RS ma consultabile sulla piattaforma di pubblica- zione Internet della Confederazione alla voce "Raccolta dei testi giuridici riguar- danti gli accordi bilaterali"). In concreto si applicano anche la Convenzione sul riciclaggio, la ricerca, il sequestro e la confisca dei proventi di reato, conclusa a Strasburgo l'8 novembre 1990, entrata in vigore il 1° settembre 1993 per la Svizzera ed il 1° marzo 2001 per il Principato del Liechtenstein (CRic; RS 0.311.53), nonché la Convenzione delle Nazioni Unite contro la corruzione (in seguito: UNCAC), conclusa il 31 ottobre 2003 ed entrata in vigore per la Svizzera il 24 ottobre 2009 e il 7 agosto 2010 per il Liechtenstein (RS 0.311.56), in particolare l'art. 46 richiamati gli art. 14 e 23. Alle questioni che il prevalente diritto internazionale contenuto in detti trattati non regola espressamente o implicitamente, come pure quando il diritto nazionale sia più favorevole all'assi- stenza rispetto a quello pattizio (cosiddetto principio di favore), si applica la legge sull'assistenza in materia penale, unitamente alla relativa ordinanza (OAIMP; RS 351.11; v. art. 1 cpv. 1 AIMP; v. DTF 145 IV 294 consid. 2.1; 142 IV 250 consid. 3; 140 IV 123 consid. 2; 137 IV 33 consid. 2.2.2; 136 IV 82 con- sid. 3.1; cfr. anche art. 54 CPP). Il principio di favore vale anche nell'applica- zione delle pertinenti norme di diritto internazionale (v. art. 48 n. 2 CAS; art. 39 n. 3 CRic). È fatto salvo il rispetto dei diritti fondamentali (v. DTF 145 IV 294 consid. 2.1; 135 IV 212 consid. 2.3; 123 II 595 consid. 7c).</w:t>
      </w:r>
    </w:p>
    <w:p>
      <w:r>
        <w:t>- 5 -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6 maggio 2021, il ricorso è ricevibile sotto il profilo degli art. 25 cpv. 1, 80e cpv. 1 e 80k AIMP. Nella misura in cui A. SA è titolare della relazione n. 3 presso la banca K. e B. ESTABLISHMENT è titolare della relazione n. 4 presso la medesima banca, esse sono legittimate a ricorrere (v. art. 80h lett. b AIMP e art. 9a lett. a OAIMP nonché DTF 137 IV 134 consid. 5.2.1; 130 II 162 consid. 1.1; 128 II 211 consid. 2.3; TPF 2007 79 consid. 1.6 pag. 82).</w:t>
      </w:r>
    </w:p>
    <w:p>
      <w:r>
        <w:rPr>
          <w:b/>
        </w:rPr>
        <w:t>E. 2</w:t>
      </w:r>
    </w:p>
    <w:p>
      <w:r>
        <w:t>Le ricorrenti censurano innanzitutto la violazione del loro diritto di essere sen- tite (art. 29 cpv. 2 Cost.) nella misura in cui il MP-TI, prima di emanare la deci- sione impugnata, non le avrebbe invitate a determinarsi sull’utilità della docu- mentazione litigiosa per il procedimento estero, né le avrebbe proposto di col- laborare alla cernita della stessa. Cernita che secondo le ricorrenti non sa- rebbe altresì avvenuta (act. 1, pag. 16 e seg.).</w:t>
      </w:r>
    </w:p>
    <w:p>
      <w:r>
        <w:rPr>
          <w:b/>
        </w:rPr>
        <w:t>E. 2.1</w:t>
      </w:r>
    </w:p>
    <w:p>
      <w:r>
        <w:t>Giusta l’art. 80m AIMP l’autorità d’esecuzione e l’autorità di ricorso notificano le loro decisioni all’avente diritto abitante in Svizzera (lett. a) e all’avente diritto residente all’estero, se ha eletto domicilio in Svizzera (lett. b). L’autorità d’ese- cuzione non è obbligata a notificare le proprie decisioni all’estero (v. art. 80m AIMP; art. 9 OAIMP; sentenza del Tribunale federale 1C_184/2017 del 5 aprile 2017 consid. 1.4).</w:t>
      </w:r>
    </w:p>
    <w:p>
      <w:r>
        <w:rPr>
          <w:b/>
        </w:rPr>
        <w:t>E. 2.2</w:t>
      </w:r>
    </w:p>
    <w:p>
      <w:r>
        <w:t>In concreto, sebbene le ricorrenti non censurino direttamente nel loro ricorso una violazione dell’obbligo di notificazione, occorre comunque rilevare che il MP-TI ha notificato le decisioni di entrata in materia e di chiusura unicamente all’Ufficio federale di giustizia, alla banca K., a E., a F., a G. e a H. Il MP-TI non ha dunque notificato tali atti direttamente alle ricorrenti (cfr. supra Fatti B e D).</w:t>
      </w:r>
    </w:p>
    <w:p>
      <w:r>
        <w:rPr>
          <w:b/>
        </w:rPr>
        <w:t>E. 2.3</w:t>
      </w:r>
    </w:p>
    <w:p>
      <w:r>
        <w:t>Sulla scorta della giurisprudenza sopracitata, per quel che riguarda la ricorrente B. ESTABLISHMENT, la quale è domiciliata all’estero, gli atti del 15 e 16 feb- braio 2021 (v. atti 7, 8 e 9 incarto MP-TI), così come la decisione di chiusura del</w:t>
      </w:r>
    </w:p>
    <w:p>
      <w:r>
        <w:rPr>
          <w:b/>
        </w:rPr>
        <w:t>E. 2.4</w:t>
      </w:r>
    </w:p>
    <w:p>
      <w:r>
        <w:t>Per quel che concerne l’altra ricorrente, ovvero A. SA, essa ha sede in Svizzera (v. act. 1). Dall’incarto non risulta che il MP-TI le abbia notificato direttamente i propri atti, contrariamente a quanto previsto dalla lettera dell’art. 80m cpv. 1 lett. a AIMP. Tuttavia, quest’omissione non implica necessariamente l'accoglimento del ricorso.</w:t>
      </w:r>
    </w:p>
    <w:p>
      <w:r>
        <w:rPr>
          <w:b/>
        </w:rPr>
        <w:t>E. 2.4.1</w:t>
      </w:r>
    </w:p>
    <w:p>
      <w:r>
        <w:t>Secondo la giurisprudenza, una persona a cui un atto non è stato notificato ma del quale è comunque venuta a conoscenza, deve rapidamente interpellare l’autorità. Secondo il principio della buona fede (v. art. 5 cpv. 3 Cost.), l'interes- sato deve agire entro un termine ragionevole non appena viene a conoscenza, in qualsiasi modo, della procedura o dell’atto che intende impugnare e non può semplicemente attendere in maniera passiva confidando nell’eventuale facoltà di invocare in seguito un vizio d forma (v. DTF 122 I 97 consid. 3 a/aa; sentenze del Tribunale federale 2C_954/2015 del 13 febbraio 2017 consid. 8; 8C_130/2014 del 22 gennaio 2015 consid. 2.3.2; 9C_202/2014 dell'11 luglio 2014 consid. 4.2; 8C_188/2007 del 4 marzo 2008 consid. 4.1).</w:t>
      </w:r>
    </w:p>
    <w:p>
      <w:r>
        <w:rPr>
          <w:b/>
        </w:rPr>
        <w:t>E. 2.4.2</w:t>
      </w:r>
    </w:p>
    <w:p>
      <w:r>
        <w:t>Nella fattispecie, dalla documentazione agli atti si evince che l’avente diritto economico del conto litigioso della società A. SA è la società C. AG. Gli azionisti di maggioranza di C. AG sono E. e F., i quali risultano essere l’attuale, rispetti- vamente il precedente amministratore unico della società A. SA. In queste circostanze, anche se alla ricorrente non sono state notificate diretta- mente le decisioni del MP-TI, si deve comunque ammettere che, in un modo o nell'altro, essa ne era a conoscenza, perlomeno per il tramite dell’attuale ammi- nistratore unico in quanto organo della ricorrente stessa. Ne consegue che gli atti del 15 e 16 febbraio 2021 (v. atti 7, 8 e 9 incarto MP-TI) e la decisione di chiusura del 6 maggio 2021 (v. act. 1.2) vanno considerati notificati sia ai sum- menzionati E. e F. che alla A. SA, cosa che peraltro, giustamente, quest’ultima non mette in discussione nel suo atto ricorsuale. Trattandosi della logica pre- messa delle censure in ambito di diritto di essere sentiti, la questione andava tuttavia analizzata, non mancando di sottolineare il fatto che una notifica con- forme all’art. 80m cpv. 1 lett. a AIMP era di principio necessaria e che le autorità d’esecuzione non possono a priori partire dal presupposto che vi possa essere identità tra organi societari e persone fisiche coinvolte, omettendo una notifica separata alla persona giuridica interessata.</w:t>
      </w:r>
    </w:p>
    <w:p>
      <w:r>
        <w:rPr>
          <w:b/>
        </w:rPr>
        <w:t>E. 2.5</w:t>
      </w:r>
    </w:p>
    <w:p>
      <w:r>
        <w:t>Per quel che attiene alla censura riguardante la cernita documentale, l'autorità di esecuzione, dopo aver concesso al detentore della documentazione la pos- sibilità di addurre i motivi che si opporrebbero alla trasmissione di determinati atti e la facoltà di partecipare alla necessaria cernita, ha l'obbligo di motivare</w:t>
      </w:r>
    </w:p>
    <w:p>
      <w:r>
        <w:t>- 7 -</w:t>
      </w:r>
    </w:p>
    <w:p>
      <w:r>
        <w:t>accuratamente la decisione di chiusura (v. DTF 130 II 14 consid. 4.4 pag. 18). Essa non potrebbe infatti ordinare in modo acritico e indeterminato la trasmis- sione dei documenti, delegandone tout court la selezione agli inquirenti esteri (v. DTF 127 II 151 consid. 4c/aa pag. 155; 122 II 367 consid. 2c; 112 Ib 576 consid. 14a pag. 604). Questo compito spetta all'autorità svizzera d'esecuzione che, in assenza di un eventuale consenso all'esecuzione semplificata (cfr. art. 80c AIMP), prima di emanare una decisione di chiusura, deve impartire alle persone toccate giusta l'art. 80h lett. b AIMP e art. 9a OAIMP un termine per addurre, riguardo a ogni singolo documento, gli argomenti che si opporrebbero alla consegna. Questo affinché esse possano esercitare in maniera concreta ed effettiva il loro diritto di essere sentite (v. art. 30 cpv. 1 PA), secondo modalità di collaborazione comunque rispettose del principio della buona fede (art. 5 cpv. 3 Cost.; KRAUSKOPF/EMMENEGGER/BABEY, in: Waldmann/Weissenberger, Praxiskommentar VwVG, 2a ediz. 2016, n. 54 ad art. 12).</w:t>
      </w:r>
    </w:p>
    <w:p>
      <w:r>
        <w:t>La cernita deve aver luogo anche qualora l'interessato rinunci ad esprimersi (v. DTF 130 II 14 consid. 4.3 e 4.4; 126 II 258 consid. 9b/aa pag. 262; cfr. anche DTF 127 II 151 consid. 4c/aa; ZIMMERMANN, La coopération judiciaire interna- tionale en matière pénale, 5a ediz. 2019, n. 484, 723-724; DE PREUX, L'entraide internationale en matière pénale et la lutte contre le blanchiment d'argent, in SJZ 104/2008 n. 2 pag. 34), pur precisando che nel caso di documentazione bancaria, come nel caso in esame, conviene trasmettere alle autorità estere tutti i documenti in relazione con il contesto fattuale sospetto indicato nella ri- chiesta d’assistenza (v. sentenza del Tribunale penale federale RR.2014.4 del 30 luglio 2014 consid. 2.2.1). Quando le autorità estere chiedono informazioni per ricostruire flussi patrimoniali di natura criminale si ritiene infatti che neces- sitino di regola dell'integralità della relativa documentazione, in modo tale da chiarire quali siano le persone o entità giuridiche coinvolte (v. DTF 129 II 462 consid. 5.5; 124 II 180 consid. 3c; 121 II 241 consid. 3b e 3c; sentenze del Tribunale federale 1A.177/2006 del 10 dicembre 2007 consid. 5.5; 1A.227/2006 del 22 febbraio 2007 consid. 3.2; sentenza del Tribunale penale federale RR.2019.257 del 12 febbraio 2020 consid. 2). Il diritto di essere sentito, ancorato all'art. 29 cpv. 2 Cost., viene concretizzato nell'ambito dell'assistenza giudiziaria internazionale agli art. 29 e segg. PA ri- chiamato l’art. 12 cpv. 1 AIMP (v. ZIMMERMANN, op. cit., n. 472). Esso è di natura formale (v. DTF 126 I 19 consid. 2d/bb pag. 24; 125 I 113 consid. 3; ALBERTINI, Der verfassungsmässige Anspruch auf rechtliches Gehör im Verwaltungsver- fahren des modernen Staates, 2000, pag. 449 con rinvii). Una violazione di que- sto diritto fondamentale da parte dell'autorità d'esecuzione non comporta co- munque automaticamente l'accoglimento del gravame e l'annullamento della decisione impugnata. Secondo la giurisprudenza e la dottrina, una violazione del diritto di essere sentito può essere sanata se la persona toccata ottiene la</w:t>
      </w:r>
    </w:p>
    <w:p>
      <w:r>
        <w:t>- 8 -</w:t>
      </w:r>
    </w:p>
    <w:p>
      <w:r>
        <w:t>possibilità di esprimersi in merito davanti ad una autorità di ricorso, la quale, come nella fattispecie la Corte dei reclami penali del Tribunale penale federale, dispone del medesimo potere d'esame dell'autorità d'esecuzione stessa (v. DTF 124 II 132 consid. 2d; sentenze del Tribunale federale 1C_525/2008; 1C_526/2008 del 28 novembre 2008 consid. 1.3; 1A.54/2004 del 30 aprile 2004; TPF 2008 172 consid. 2.3; TPF 2007 57; ZIMMERMANN, op. cit., n. 472).</w:t>
      </w:r>
    </w:p>
    <w:p>
      <w:r>
        <w:rPr>
          <w:b/>
        </w:rPr>
        <w:t>E. 2.6</w:t>
      </w:r>
    </w:p>
    <w:p>
      <w:r>
        <w:t>Nella fattispecie, contravvenendo alla giurisprudenza e alle disposizioni citate, l’autorità d’esecuzione ha dapprima statuito sull’entrata in materia e poi sulla chiusura della procedura rogatoriale, senza fissare termini per presentare even- tuali motivi che si opporrebbero alla trasmissione in questione e senza proporre la partecipazione alla cernita documentale.</w:t>
      </w:r>
    </w:p>
    <w:p>
      <w:r>
        <w:t>Tuttavia, come già indicato (v. supra consid. 2.3 e 2.4), il lasso di tempo tra la decisione di entrata in materia del 15 febbraio 2021 e quella di chiusura del</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complessivamente fissata nella fattispecie a fr. 6'000.–, a carico delle ricorrenti in solido; essa è coperta dall’anticipo delle spese già versato.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