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RR.2021.107 vom 24. August 2021</w:t>
      </w:r>
    </w:p>
    <w:p>
      <w:r>
        <w:t>Bundesstrafgericht, 2021-08-24, IT</w:t>
      </w:r>
    </w:p>
    <w:p>
      <w:r>
        <w:rPr>
          <w:b/>
        </w:rPr>
        <w:t xml:space="preserve">Quelle: </w:t>
      </w:r>
      <w:r>
        <w:t>https://mcp.opencaselaw.ch/entscheid/bstger_RR.2021.107</w:t>
      </w:r>
    </w:p>
    <w:p>
      <w:r>
        <w:t>FR: TPF RR.2021.107 du 24 août 2021</w:t>
      </w:r>
    </w:p>
    <w:p>
      <w:r>
        <w:t>IT: TPF RR.2021.107 del 24 agosto 2021</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- 6 -</w:t>
      </w:r>
    </w:p>
    <w:p>
      <w:r>
        <w:t>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reato di riciclaggio. Alle questioni che il prevalente diritto interna- 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4 maggio 2021, il ricorso è ricevibile sotto il profilo degli art. 25 cpv. 1, 80e cpv. 1 e 80k AIMP.</w:t>
      </w:r>
    </w:p>
    <w:p>
      <w:r>
        <w:rPr>
          <w:b/>
        </w:rPr>
        <w:t>E. 1.5.1</w:t>
      </w:r>
    </w:p>
    <w:p>
      <w:r>
        <w:t>La ricevibilità del gravame presuppone tuttavia anche la legittimazione a ricor- rere della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w:t>
      </w:r>
    </w:p>
    <w:p>
      <w:r>
        <w:t>- 7 -</w:t>
      </w:r>
    </w:p>
    <w:p>
      <w:r>
        <w:t>con rinvii, e 118 Ib 547 consid. 1d), così come nelle perquisizioni domiciliari questa qualità spetta al proprietario o al locatario (v. art. 9a lett. b OAIMP; DTF 137 IV 134 consid. 6.2, con rinvii).</w:t>
      </w:r>
    </w:p>
    <w:p>
      <w:r>
        <w:rPr>
          <w:b/>
        </w:rPr>
        <w:t>E. 1.5.2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1.5.3</w:t>
      </w:r>
    </w:p>
    <w:p>
      <w:r>
        <w:t>In concreto, nella misura in cui la perquisizione sfociata nel sequestro di docu- mentazione cartacea e informatica di cui ai punti 2h e 2i del dispositivo della decisione impugnata (v. act. 1, allegato A, pag. 20) è avvenuta presso la sede legale di L. SA a Lugano (v. act. 1, allegato B) e non nella sede legale della società ricorrente a Z. (v. act. 1, allegato N), la quale ha certo affermato di avere la sede operativa presso L. SA, senza tuttavia allegare di essere proprietaria o locataria dei locali in cui è avvenuta la perquisizione (v. atto 15 incarto MP-TI; act. 1, allegato C), la legittimazione ricorsuale non è data (v. art. 80h lett. b AIMP e art. 9a lett. b OAIMP nonché DTF 137 IV 134 consid. 6.2; 130 II 162 consid. 1.1; 128 II 211 consid. 2.3; sentenze del Tribunale penale federale RR.2016.277 del 7 febbraio 2017 consid. 1.5.2; RR.2015.289-290 del 13 aprile 2016 consid. 2.2.1). La legittimazione fa difetto anche per quanto riguarda la segnalazione MROS del 13 novembre 2020. Questa infatti non contempla né conti né docu- mentazione bancaria concernente relazioni intestate alla ricorrente (v. act. 1, allegato Z8).</w:t>
      </w:r>
    </w:p>
    <w:p>
      <w:r>
        <w:rPr>
          <w:b/>
        </w:rPr>
        <w:t>E. 2</w:t>
      </w:r>
    </w:p>
    <w:p>
      <w:r>
        <w:t>Visto quanto precede, il ricorso è inammissibile.</w:t>
      </w:r>
    </w:p>
    <w:p>
      <w:r>
        <w:t>- 8 -</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3'000.–, a carico della ricorrente; essa è coperta dall'anticipo delle spese di fr. 4'000.– già versato. La Cassa del Tribunale restituirà alla ricorrente il saldo di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