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RR.2021.104 vom 24. August 2021</w:t>
      </w:r>
    </w:p>
    <w:p>
      <w:r>
        <w:t>Bundesstrafgericht, 2021-08-24, IT</w:t>
      </w:r>
    </w:p>
    <w:p>
      <w:r>
        <w:rPr>
          <w:b/>
        </w:rPr>
        <w:t xml:space="preserve">Quelle: </w:t>
      </w:r>
      <w:r>
        <w:t>https://mcp.opencaselaw.ch/entscheid/bstger_RR.2021.104</w:t>
      </w:r>
    </w:p>
    <w:p>
      <w:r>
        <w:t>FR: TPF RR.2021.104 du 24 août 2021</w:t>
      </w:r>
    </w:p>
    <w:p>
      <w:r>
        <w:t>IT: TPF RR.2021.104 del 24 agosto 2021</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w:t>
      </w:r>
    </w:p>
    <w:p>
      <w:r>
        <w:t>- 6 -</w:t>
      </w:r>
    </w:p>
    <w:p>
      <w:r>
        <w:t>2009 e per la Svizzera il 24 ottobre 2009 (RS 0.311.56), richiamati gli art. 14 e 23 relativi al reato di riciclaggio. Alle questioni che il prevalente diritto interna- 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4 maggio 2021, il ricorso è ricevibile sotto il profilo degli art. 25 cpv. 1, 80e cpv. 1 e 80k AIMP.</w:t>
      </w:r>
    </w:p>
    <w:p>
      <w:r>
        <w:rPr>
          <w:b/>
        </w:rPr>
        <w:t>E. 1.5.1</w:t>
      </w:r>
    </w:p>
    <w:p>
      <w:r>
        <w:t>La ricevibilità del gravame presuppone tuttavia anche la legittimazione a ricor- rere del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1.5.2</w:t>
      </w:r>
    </w:p>
    <w:p>
      <w:r>
        <w:t>In via giurisprudenziale è stato altresì precisato che la legittimazione a ricorrere compete alla persona direttamente sottoposta a una misura coercitiva (perqui-</w:t>
      </w:r>
    </w:p>
    <w:p>
      <w:r>
        <w:t>- 7 -</w:t>
      </w:r>
    </w:p>
    <w:p>
      <w:r>
        <w:t>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Questo vale in linea di massima anche nel caso di documenti in possesso delle autorità in virtù di pregresse procedure di diritto interno e come tali ottenuti senza misure coercitive di tipo rogatoriale internazionale (v. TPF 2020 180 con- sid. 4.4.3; sentenza del Tribunale penale federale RR.2007.46 del 4 giugno 2007 consid. 1.6.2). È ammessa un’eccezione se all’interno di questi atti vi è documentazione bancaria: in questo caso il titolare dei conti in questione è le- gittimato a ricorrere (DTF 124 II 180 consid. 2; sentenze del Tribunale federale 1A.282/2005 del 30 aprile 2007 consid. 2.3.1 e 1A.141/1998 del 9 febbraio 1999 consid. 2a = Rep 1999 pag. 123; TPF 2007 79 consid. 1.6 pag. 82).</w:t>
      </w:r>
    </w:p>
    <w:p>
      <w:r>
        <w:rPr>
          <w:b/>
        </w:rPr>
        <w:t>E. 1.5.3</w:t>
      </w:r>
    </w:p>
    <w:p>
      <w:r>
        <w:t>In concreto, nella misura in cui la perquisizione sfociata nel sequestro dei files di cui al punto 2i del dispositivo della decisione impugnata è avvenuta nella residenza del ricorrente a Z. (v. atto 15, pag. 3, incarto MP-TI; act. 1, allegato C), la legittimazione ricorsuale è pacifica (v. art. 80h lett. b AIMP e art. 9a lett. b OAIMP nonché DTF 137 IV 134 consid. 6.2; 130 II 162 consid. 1.1; 128 II 211 consid. 2.3; sentenze del Tribunale penale federale RR.2016.277 del 7 febbraio 2017 consid. 1.5.2; RR.2015.289-290 del 13 aprile 2016 consid. 2.2.1). Essa fa per contro difetto per quanto riguarda le due segnalazioni MROS. Quella del 13 novembre 2020 menziona infatti unicamente l’esistenza della relazione n. 1 presso la banca K. intestata al ricorrente, ma non contempla documentazione bancaria (v. act. 1, allegato Z8). L’invio di tale informazione all’autorità rogante non costituisce una trasmissione di documentazione bancaria e non sottostà all’eccezione di cui sopra (v. supra consid. 1.5.2 in fine). Trattasi in realtà di un’informazione che può pacificamente essere comunicata spontaneamente all’autorità estera in virtù dell’art. 67a AIMP, senza quindi necessitare di una decisione di chiusura (v. sentenza del Tribunale penale federale RR.2021.54- 54 del 20 maggio 2021 consid. 6; RR.2019.312 del 28 aprile 2020 consid. 5). Quella dell’11 agosto 2020 non menziona né conti né operazioni concernenti relazioni bancarie intestati al ricorrente (v. act. 1, allegato Z11).</w:t>
      </w:r>
    </w:p>
    <w:p>
      <w:r>
        <w:t>In questi termini occorre dunque entrare nel merito del ricorso.</w:t>
      </w:r>
    </w:p>
    <w:p>
      <w:r>
        <w:t>- 8 -</w:t>
      </w:r>
    </w:p>
    <w:p>
      <w:r>
        <w:rPr>
          <w:b/>
        </w:rPr>
        <w:t>E. 2</w:t>
      </w:r>
    </w:p>
    <w:p>
      <w:r>
        <w:t>Il ricorrente censura innanzitutto la violazione del suo diritto di essere sentito, nella misura in cui il MP-TI non gli avrebbe permesso di eseguire una contro- verifica sui dati informatici estrapolati dal Centro Sistemi Informativi del Cantone Ticino (in seguito: CSI) sulla base delle parole chiave indicate nella rogatoria.</w:t>
      </w:r>
    </w:p>
    <w:p>
      <w:r>
        <w:rPr>
          <w:b/>
        </w:rPr>
        <w:t>E. 2.1</w:t>
      </w:r>
    </w:p>
    <w:p>
      <w:r>
        <w:t>Il diritto di essere sentito, ancorato all’art. 29 cpv. 2 Cost., viene concretizzato nell’ambito dell’assistenza giudiziaria internazionale agli art. 29 e segg. PA richiamati dall’art. 12 cpv. 1 AIMP (ZIMMERMANN, La coopération judiciaire inter- nationale ne matière pénale, 5a ediz. 2019, n. 472). Esso è di natura formale (DTF 126 I 19 consid. 2d/bb pag. 24; 125 I 113 consid. 3; ALBERTINI, Der verfassungsmässige Anspruch auf rechtliches Gehör im Verwaltungsverfahren des modernen Staates, tesi di laurea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TPF 2007 57; ZIMMERMANN, op. cit., n. 472).</w:t>
      </w:r>
    </w:p>
    <w:p>
      <w:r>
        <w:t>Secondo la giurisprudenza, l'autorità di esecuzione, dopo aver concesso al detentore della documentazione la possibilità di addurre i motivi che si oppor- rebbero alla trasmissione di determinati atti e la facoltà di partecipare alla ne- 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sentite (v. art. 30 cpv. 1 PA), secondo modalità di collaborazione comunque rispettose del principio della buona fede (art. 5 cpv. 3 Cost.; KRAUSKOPF/EMMENEGGER/BABEY, in: Waldmann/Weissenberger, Praxiskommentar VwVG, 2a ediz. 2016, n. 54 ad art. 12). La cernita deve aver luogo anche qualora l'interessato rinunci ad espri- mersi (DTF 130 II 14 consid. 4.3 e 4.4; 126 II 258 consid. 9b/aa pag. 262; cfr. anche DTF 127 II 151 consid. 4c/aa; ZIMMERMANN, op. cit., n. 484, 723-724; DE</w:t>
      </w:r>
    </w:p>
    <w:p>
      <w:r>
        <w:t>- 9 -</w:t>
      </w:r>
    </w:p>
    <w:p>
      <w:r>
        <w:t>PREUX, L'entraide internationale en matière pénale et la lutte contre le blanchi- ment d'argent, in SJZ 104/2008 n. 2 pag. 34).</w:t>
      </w:r>
    </w:p>
    <w:p>
      <w:r>
        <w:rPr>
          <w:b/>
        </w:rPr>
        <w:t>E. 2.2</w:t>
      </w:r>
    </w:p>
    <w:p>
      <w:r>
        <w:t>In concreto, si rileva che in data 23 novembre 2020, su istanza del MP-TI, è avvenuta un’udienza di levata dei sigilli dinanzi al Giudice dei provvedimenti coercitivi (in seguito: GPC) relativa alla documentazione cartacea e elettronica qui litigiosa. Il relativo verbale permette di prendere atto dell’oggetto di tale udienza (v. act. 1, allegato U). In particolare, «le parti si esprimono sulla lista di parole chiave allegata alla documentazione di rogatoria, che viene sottoposta al signor A. il quale la approva. Di conseguenza tutta la documentazione scritta e tutti i dati informatici saranno sottoposti a questo controllo preliminare. Rite- nuto che la documentazione che non dovesse rivelarsi afferente sarà, cancel- lata quella informatica e restituita al signor A. quella cartacea, lo stesso vale con riferimento ad L. SA. A questo punto d’accordo, le parti si decide di levare i sigilli alla scatola denominata “A. L. SA” allo scopo di almeno iniziare l’analisi della documentazione. Tolto i sigilli il signor A. unitamente al suo patrocinatore ha controllato il contenuto, dopo visione dei documenti ha in particolare estra- polato i seguenti documenti […]. Il rimanente della documentazione viene con- segnato seduta stante al Procuratore pubblico. Per quel che riguarda i dati in- formatici le parti convengono di pure utilizzare le parole chiave allegate, ritenuto che saranno presi in considerazione solo i dati che contengono le stesse mentre tutti gli altri dati saranno cancellati. Rimanendo fermo il criterio temporale 1° gennaio 2017. Di conseguenza è dato l’accordo alla levata dei sigilli, ritenuto che il Procuratore pubblico procederà ad incaricare la Polizia giudiziaria con l’analisi informatica di cui sopra. Le procedure inerenti ad L. SA e A. relative all’apposizione dei sigilli sono di conseguenza concluse e questo giudice pro- cederà con la decisione di stralcio dai ruoli della stessa» (ibidem, pag. 2). In un susseguente scritto del 30 novembre 2020, il MP-TI ha, tra l’altro, invitato il ri- corrente a prendere posizione in merito alla trasmissione semplificata della do- cumentazione cartacea dissigillata il 23 novembre 2020, confermando anche che “l’analisi dei dati informatici è limitata sia alle parole chiave che al periodo di tempo a partire dal 01.01.2017, come concordato dinnanzi al GPC in data 23 novembre 2020” (atto 68, pag. 2, incarto MP-TI). Ora, nella misura in cui i dati informatici estrapolati dal Centro Sistemi Informatici (CSI) contengono le parole-chiave contenute nella rogatoria ed esplicitamente accettate dal ricor- rente dinanzi al GPC, occorre concludere che la cernita è correttamente avve- nuta. Nella decisione impugnata il MP-TI afferma che «al di fuori di quanto emerge dall’utilizzo delle parole chiave utilizzate, ovvero documenti che conten- gono espressamente la parola in questione (che sia nel contenuto del docu- mento, nel titolo del documento o nella trascrizione informatica dello stesso), nulla è stato ritenuto. È stato inoltre concordato un lasso di tempo (1 gennaio 2017) quale criterio ulteriore, anch’esso di comune accordo con le parti» (act. 1, allegato C, pag. 15). Che l’estrapolazione dei dati è avvenuta nel rispetto di</w:t>
      </w:r>
    </w:p>
    <w:p>
      <w:r>
        <w:t>- 10 -</w:t>
      </w:r>
    </w:p>
    <w:p>
      <w:r>
        <w:t>quanto concordato dinanzi al GPC è peraltro confermato dal rapporto di esecu- zione del 12 febbraio 2021 (v. atto 85 incarto MP-TI). Se è vero che il ricorrente ha chiesto la messa a disposizione dei dati estrapolati allo stato grezzo, senza filtri, in modo da poter procedere egli stesso alla verifica della correttezza dell’operazione, occorre anche rilevare che, come dichiarato dal MP-TI, l’analisi completa, senza filtri, è stata cancellata e non è più disponibile, modalità con- venute dinanzi al GPC. Visto quanto precede, e ritenuto che i dati litigiosi og- getto di trasmissione sono comunque stati messi a disposizione del ricorrente al più tardi a partire dal 17 marzo 2021 (v. atto 89 incarto MP-TI), ossia un mese e mezzo prima dell’emanazione della decisione di chiusura impugnata, l’agire del MP-TI non presta il fianco a critiche. La censura va dunque disattesa.</w:t>
      </w:r>
    </w:p>
    <w:p>
      <w:r>
        <w:rPr>
          <w:b/>
        </w:rPr>
        <w:t>E. 3</w:t>
      </w:r>
    </w:p>
    <w:p>
      <w:r>
        <w:t>L’insorgente censura la violazione dei principi dell’utilità potenziale e della pro- porzionalità nonché del divieto della fishing expedition, nella misura in cui nell’estrapolazione dei dati informatici sarebbero state applicate le parole chiave (anche con varianti) senza tuttavia utilizzare filtri di ricerca finalizzati a verificare l’eventuale attinenza con la fattispecie oggetto del procedimento penale. Ba- sandosi su una perizia esterna, egli censura il fatto che la copia forense origi- nale sia stata cancellata, ciò che non permetterebbe più di effettuare una con- tro-verifica della correttezza dell’operazione che ha condotto alla raccolta delle presunte prove digitali, in violazione dello standard applicabile in materia ISO/IEC27037. Egli contesta in ogni caso che l’integralità dei dati informatici selezionati siano pertinenti per l’inchiesta estera.</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- 11 -</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risultanti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Nella fattispecie, l'utilità potenziale della documentazione litigiosa è certamente data, già solo per il fatto che il ricorrente, detentore e/o proprietario dei disposi- tivi elettronici sequestrati nei suoi locali, è indagato nell’inchiesta italiana. Ciò premesso, si ribadisce che le parole chiave utilizzate dall’autorità di esecuzione per l’estrapolazione dei dati qui litigiosi sono state fornite dall’autorità rogante e accettate dal ricorrente. È evidente che la ripresa dei nominativi delle persone coinvolte nell’inchiesta estera quali parole chiave avrebbe compreso ugual- mente il nome del ricorrente. Si tratta di un modo di procedere che non presta il fianco a critiche, anche perché l’autorità estera deve potere verificare tutti i contatti avuti dal ricorrente con terze persone potenzialmente coinvolte nei fatti oggetto d’indagine. Per il resto la valutazione probatoria del materiale informa- tico ottenuto in via rogatoriale, compreso il rispetto dello standard ISO/IEC27037, spetterà al giudice estero del merito.</w:t>
      </w:r>
    </w:p>
    <w:p>
      <w:r>
        <w:rPr>
          <w:b/>
        </w:rPr>
        <w:t>E. 4</w:t>
      </w:r>
    </w:p>
    <w:p>
      <w:r>
        <w:t>In definitiva, il ricorso, nella misura della sua ammissibilità, va respinto e la de- cisione di chiusura impugnata confermata.</w:t>
      </w:r>
    </w:p>
    <w:p>
      <w:r>
        <w:t>- 12 -</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