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RR.2021.103 vom 24. August 2021</w:t>
      </w:r>
    </w:p>
    <w:p>
      <w:r>
        <w:t>Bundesstrafgericht, 2021-08-24, IT</w:t>
      </w:r>
    </w:p>
    <w:p>
      <w:r>
        <w:rPr>
          <w:b/>
        </w:rPr>
        <w:t xml:space="preserve">Quelle: </w:t>
      </w:r>
      <w:r>
        <w:t>https://mcp.opencaselaw.ch/entscheid/bstger_RR.2021.103</w:t>
      </w:r>
    </w:p>
    <w:p>
      <w:r>
        <w:t>FR: TPF RR.2021.103 du 24 août 2021</w:t>
      </w:r>
    </w:p>
    <w:p>
      <w:r>
        <w:t>IT: TPF RR.2021.103 del 24 agosto 2021</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Di rilievo nella fattispecie sono anche la Convenzione sul riciclaggio, la ricerca, il sequestro e la confisca dei proventi di reato, conclusa a Strasburgo l’8 novembre 1990, entrata in vigore il 1° settembre 1993 per la Svizzera ed il 1° maggio 1994 per l’Italia (CRic; RS 0.311.53), nonché l’art. 46 della Convenzione delle Nazioni Unite contro la corruzione (in seguito: UNCAC), conclusa il 31 ottobre 2003, entrata in vigore per l’Italia il 4 novembre 2009 e per la Svizzera il 24 ottobre 2009 (RS 0.311.56), richiamati gli art. 14 e 23 relativi al riciclaggio. Alle questioni che il prevalente diritto internazionale contenuto in detti trattati non regola espressamente o implicitamente, come pure quando il diritto nazionale sia più favorevole all'assistenza rispetto a quello</w:t>
      </w:r>
    </w:p>
    <w:p>
      <w:r>
        <w:t>- 5 -</w:t>
      </w:r>
    </w:p>
    <w:p>
      <w:r>
        <w:t>pattizio (cosiddetto principio di favore), si applica la legge sull'assistenza in ma- teria penale, unitamente alla relativa ordinanza (OAIMP; RS 351.11; v. art. 1 cpv. 1 AIMP, art. I n. 2 Accordo italo-svizzero; DTF 145 IV 294 consid. 2.1; 142 IV 250 consid. 3; 140 IV 123 consid. 2; 137 IV 33 consid. 2.2.2; 136 IV 82 con- sid. 3.1). Il principio di favore vale anche nell'applicazione delle pertinenti norme di diritto internazionale (v. art. 48 n. 2 CAS, art. 39 n. 3 CRic e art. I n. 2 Accordo italo-svizzero).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decisione di chiusura del 4 maggio 2021, il ricorso è ricevibile sotto il profilo degli art. 25 cpv. 1, 80e cpv. 1 e 80k AIMP. Nella misura in cui la perquisizione sfociata nel sequestro dell’Hard Disk di cui al punto 2g del dispositivo della decisione impugnata è avvenuta al domicilio del ricorrente a W. nonché nell’abitazione in suo uso a Y. (v. atto 15, pag. 4, incarto MP-TI), la legittimazione ricorsuale è data (v. art. 80h lett. b AIMP e art. 9a lett. b OAIMP nonché DTF 137 IV 134 consid. 6.2; 130 II 162 consid. 1.1; 128 II 211 consid. 2.3; sentenze del Tribunale penale federale RR.2016.277 del 7 febbraio 2017 consid. 1.5.2; RR.2015.289-290 del 13 aprile 2016 consid. 2.2.1).</w:t>
      </w:r>
    </w:p>
    <w:p>
      <w:r>
        <w:rPr>
          <w:b/>
        </w:rPr>
        <w:t>E. 2</w:t>
      </w:r>
    </w:p>
    <w:p>
      <w:r>
        <w:t>L’insorgente censura la violazione del principio della proporzionalità, nella mi- sura in cui la decisione impugnata prevede la trasmissione di documentazione inutile per il procedimento estero, in contrasto anche con il divieto della fishing expedition. In sostanza, pur condividendo il principio secondo il quale per la cernita di dati informatici si debba procedere con una ricerca mediante parole chiave, egli contesta l’utilizzo del solo nome e cognome presi singolarmente, ciò che porterebbe a prendere in considerazione anche documenti inutili per l’inchiesta estera, in violazione del diritto del ricorrente alla protezione delle sue relazioni via telecomunicazioni e all’impiego non abusivo dei suoi dati. Basan- dosi su una perizia redatta dal Dr. Ing. O., responsabile del Dipartimento tecno- logie innovative della SUPSI, egli sostiene che la cernita avrebbe dovuto aver luogo con criteri di ricerca più precisi, ossequiosi dello standard ISO/IEC27037. A dire del ricorrente, i documenti litigiosi sarebbero stati acquisiti in violazione degli art. 12 AIMP e 141 cpv. 2 CPP e quali prove non valide non potrebbero essere utilizzati.</w:t>
      </w:r>
    </w:p>
    <w:p>
      <w:r>
        <w:rPr>
          <w:b/>
        </w:rPr>
        <w:t>E. 2.1</w:t>
      </w:r>
    </w:p>
    <w:p>
      <w:r>
        <w:t>Il principio della proporzionalità esige che vi sia una connessione fra la docu- mentazione richiesta e il procedimento estero (DTF 139 II 404 consid. 7.2.2;</w:t>
      </w:r>
    </w:p>
    <w:p>
      <w:r>
        <w:t>- 6 -</w:t>
      </w:r>
    </w:p>
    <w:p>
      <w:r>
        <w:t>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 zione è proprio quello di favorire la scoperta di fatti, informazioni e mezzi di prova, compresi quelli di cui l'autorità estera non sospetta neppure l'esistenza. Non si tratta soltanto di aiutare lo Stato richiedente a provare i fatti risultanti dall'inchiesta, ma di svelarne altri, se ne esistono. Ne deriva, per l'autorità d'e- 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La coopération judiciaire internationale en matière pénale, 5a ediz. 2019, n. 722, pag. 798 e seg.). Vietata è per contro la cosiddetta fishing expedition, la quale è definita dalla giurisprudenza una ricerca generale e indeterminata di mezzi di prova volta a fondare un sospetto senza che esistano pregressi ele- 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t>- 7 -</w:t>
      </w:r>
    </w:p>
    <w:p>
      <w:r>
        <w:rPr>
          <w:b/>
        </w:rPr>
        <w:t>E. 2.2</w:t>
      </w:r>
    </w:p>
    <w:p>
      <w:r>
        <w:t>Nella fattispecie, l'utilità potenziale della documentazione litigiosa è certamente data, già solo per il fatto che il ricorrente, detentore e/o proprietario dei disposi- tivi elettronici sequestrati nei suoi locali, è indagato nell’inchiesta italiana. Ciò premesso, si rileva che in data 23 novembre 2020 ha avuto luogo un’udienza di levata sigilli dinanzi al Giudice dei provvedimenti coercitivi ticinese riguardante sia gli account di posta elettronica che i supporti elettronici litigiosi (v. act. 1.3). In tale occasione, il patrocinatore del ricorrente ha affermato quanto segue:</w:t>
      </w:r>
    </w:p>
    <w:p>
      <w:r>
        <w:t>«Per quel che riguarda gli account di posta elettronica. Gli stessi sono quattro: compliance@M. info@I.ch L.@gmail.com A.@gmail.com Non vi sono obiezioni per i primi due account, trattandosi il primo dell’account aziendale di M. SA. Ci si oppone recisamente per I’account L.@gmaiI.com in quanto relativo esclu- sivamente alla moglie, la signora Q., la cui attività non ha nulla a che vedere con quella del signor A. e nemmeno risulta dagli atti. Per quanto riguarda l’account A.@gmail.com è stato utilizzato dal signor A. per diversi motivi in relazione ad altri clienti differenti da B., da H. SA, da D. e dalle società ad essi collegate. Si acconsente tuttavia che vengano estratte le e-mail filtrate, secondo delle parole chiavi, corrispondenti ai nomi che sono elencati nella rogatoria. Ci si riferisce in particolare, ma non solo, alle e-mail da e per B. e C. con sottofiltro di parole chiavi attinente alle tre operazioni indicati nella ro- gatoria e nell’istanza e meglio le operazioni sono Q., R. e S. Si chiede inoltre che quale altro criterio venga fissato un limite temporale al 1° gennaio 2017 come da richiesta della Procura italiana. Per quanto riguarda il notebook il suo hard disk non è oggetto di sigilli e può quindi essere perquisito. Per quanto riguarda il telefonino per il suo hard disk si utilizzeranno le parole chiave già previste per l’account fermo restando il limite temporale 1° gennaio 2017».</w:t>
      </w:r>
    </w:p>
    <w:p>
      <w:r>
        <w:t>Il verbale continua con la constatazione che «per quel che riguarda le parole chiave le parti concordano di utilizzare quelle consegnate in data odierna dal Procuratore pubblico, stralciando il nominativo dell’avvocato T. Copia delle pa- role chiave sarà consegnata alla parte A.» (act. 1.3, pag. 2). In conclusione viene preso atto «che A. è d’accordo di levare i sigilli alla documentazione posta sotto sequestro, con le precisazioni e le limitazioni sopra elencate. Di conse- guenza per l’analisi della documentazione informatica saranno utilizzate le pa- role chiave allegate ritenuto che i dati non afferenti saranno in seguito cancellati. Per quel che riguarda la documentazione cartacea la questione dei sigilli è già stata risolta e i documenti consegnati ai Procuratore pubblico rispettivamente ad A.» (ibidem, pag. 3).</w:t>
      </w:r>
    </w:p>
    <w:p>
      <w:r>
        <w:t>- 8 -</w:t>
      </w:r>
    </w:p>
    <w:p>
      <w:r>
        <w:t>Da quanto precede risulta chiaro che la ripresa dei nominativi delle persone coinvolte nell’inchiesta estera quali parole chiave avrebbe compreso ugual- mente il nome del ricorrente. Si tratta di un modo di procedere che non presta il fianco a critiche, anche perché l’autorità estera deve potere verificare tutti i contatti avuti dal ricorrente con terze persone potenzialmente coinvolte nei fatti oggetto d’indagine, compresa la moglie, la quale potrebbe aver funto da presta- nome nell’attività di riciclaggio contestata al marito. Per il resto la valutazione probatoria del materiale informatico ottenuto in via rogatoriale, compreso il ri- spetto dello standard ISO/IEC27037, spetterà al giudice estero del merito.</w:t>
      </w:r>
    </w:p>
    <w:p>
      <w:r>
        <w:rPr>
          <w:b/>
        </w:rPr>
        <w:t>E. 3</w:t>
      </w:r>
    </w:p>
    <w:p>
      <w:r>
        <w:t>In definitiva, il ricorso va respinto e la decisione di chiusura impugnata confer- mata.</w:t>
      </w:r>
    </w:p>
    <w:p>
      <w:r>
        <w:rPr>
          <w:b/>
        </w:rPr>
        <w:t>E. 4</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com- plessivamente fissata nella fattispecie a fr. 4'000.–, a carico del ricorrente; essa è coperta dall'anticipo delle spese di fr. 5'000.– già versato. La Cassa del Tri- bunale restituirà al ricorrente il saldo di fr. 1'000.–.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