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RR.2020.94 vom 18. Mai 2020</w:t>
      </w:r>
    </w:p>
    <w:p>
      <w:r>
        <w:t>Bundesstrafgericht, 2020-05-18, IT</w:t>
      </w:r>
    </w:p>
    <w:p>
      <w:r>
        <w:rPr>
          <w:b/>
        </w:rPr>
        <w:t xml:space="preserve">Quelle: </w:t>
      </w:r>
      <w:r>
        <w:t>https://mcp.opencaselaw.ch/entscheid/bstger_RR.2020.94</w:t>
      </w:r>
    </w:p>
    <w:p>
      <w:r>
        <w:t>FR: TPF RR.2020.94 du 18 mai 2020</w:t>
      </w:r>
    </w:p>
    <w:p>
      <w:r>
        <w:t>IT: TPF RR.2020.94 del 18 maggio 2020</w:t>
      </w:r>
    </w:p>
    <w:p>
      <w:pPr>
        <w:pStyle w:val="Heading2"/>
      </w:pPr>
      <w:r>
        <w:t>Regeste</w:t>
      </w:r>
    </w:p>
    <w:p>
      <w:r>
        <w:t>Assistenza giudiziaria internazionale in materia penale al Brasile. Consegna die mezzi di prova (art. 74 AIMP). Durata del sequestro (art. 33a OAIMP).</w:t>
      </w:r>
    </w:p>
    <w:p>
      <w:pPr>
        <w:pStyle w:val="Heading2"/>
      </w:pPr>
      <w:r>
        <w:t>Volltext</w:t>
      </w:r>
    </w:p>
    <w:p>
      <w:r>
        <w:t>Sentenza del 18 maggio 2020 Corte dei reclami penali Composizione</w:t>
      </w:r>
    </w:p>
    <w:p>
      <w:r>
        <w:t>Giudici penali federali Roy Garré, Presidente, Andreas J. Keller e Giorgio Bomio-Giovanascini, Cancelliere Giampiero Vacalli</w:t>
      </w:r>
    </w:p>
    <w:p>
      <w:r>
        <w:t>Parti</w:t>
      </w:r>
    </w:p>
    <w:p>
      <w:r>
        <w:t>A. LLC,</w:t>
      </w:r>
    </w:p>
    <w:p>
      <w:r>
        <w:t>rappresentata dagli avv. Delphine Jobin e Matteo Pe- drazzini,</w:t>
      </w:r>
    </w:p>
    <w:p>
      <w:r>
        <w:t>Ricorrente</w:t>
      </w:r>
    </w:p>
    <w:p>
      <w:r>
        <w:t>contro</w:t>
      </w:r>
    </w:p>
    <w:p>
      <w:r>
        <w:t>MINISTERO PUBBLICO DELLA CONFEDERAZIONE,</w:t>
      </w:r>
    </w:p>
    <w:p>
      <w:r>
        <w:t>Controparte</w:t>
      </w:r>
    </w:p>
    <w:p>
      <w:r>
        <w:t>Oggetto</w:t>
      </w:r>
    </w:p>
    <w:p>
      <w:r>
        <w:t>Assistenza giudiziaria internazionale in materia penale al Brasile</w:t>
      </w:r>
    </w:p>
    <w:p>
      <w:r>
        <w:t>Consegna di mezzi di prova (art. 74 AIMP) Durata del sequestro (art. 33a OAIMP)</w:t>
      </w:r>
    </w:p>
    <w:p>
      <w:r>
        <w:t>B u n d e s s t r a f g e r i c h t T r i b u n a l p é n a l f é d é r a l T r i b u n a l e p e n a l e f e d e r a l e T r i b u n a l p e n a l f e d e r a l</w:t>
      </w:r>
    </w:p>
    <w:p>
      <w:r>
        <w:t>Numero dell’incarto: RR.2020.94</w:t>
      </w:r>
    </w:p>
    <w:p>
      <w:r>
        <w:t>- 2 -</w:t>
      </w:r>
    </w:p>
    <w:p>
      <w:r>
        <w:t>Visti: - la decisione di chiusura del 26 febbraio 2020, con la quale il Ministero pubblico della Confederazione, dando seguito ad una domanda di assistenza internazio- nale in materia penale del 12 settembre 2018 presentata dal Ministero pubblico federale brasiliano (Força Tarefa de Operação Greenfield), ha ordinato la tra- smissione all'autorità estera di svariata documentazione concernente la rela- zione n. 1 presso la banca B., intestata alla società A. LLC, nonché il manteni- mento del blocco della stessa (v. act. 7.1); - il ricorso del 30 marzo 2020 dinanzi alla Corte dei reclami penali del Tribunale penale federale, mediante il quale A. LLC postula in sostanza l’annullamento della summenzionata decisione (v. act. 7); - lo scritto del 2 aprile 2020, con il quale la ricorrente è stata invitata a versare un anticipo delle spese di fr. 10'000.– (v. act. 6); - lo scritto del 9 aprile 2020, con il quale la ricorrente è stata invitata a produrre i documenti che attestano l’esistenza della società nonché i poteri di rappresen- tanza in seno alla stessa (v. act. 8); - il versamento dell’anticipo delle spese richiesto (v. act. 11); - lo scritto del 14 maggio 2020, con il quale la ricorrente ha prodotto un docu- mento intitolato “Delaware – The First State” nonché un “Certificate of Incum- bency” (v. act. 12);</w:t>
      </w:r>
    </w:p>
    <w:p>
      <w:r>
        <w:t>Considerato: - che la Corte dei reclami penali del Tribunale penale federale giudica i gravami in materia di assistenza giudiziaria internazionale in materia penale (art. 37 cpv. 2 della legge federale sull'organizzazione delle autorità penali della Confe- derazione [LOAP; RS 173.71]);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essere allegati la decisione impugnata e i documenti indicati come mezzi di prova, se sono in possesso del ricorrente (art. 52 cpv. 1 PA);</w:t>
      </w:r>
    </w:p>
    <w:p>
      <w:r>
        <w:t>- 3 -</w:t>
      </w:r>
    </w:p>
    <w:p>
      <w:r>
        <w:t>- che se il ricorso non soddisfa a questi requisiti o se le conclusioni o i motivi del ricorrente non sono sufficientemente chiari, e il ricorso non sembra manifesta- mente inammissibile, l'autorità di ricorso assegna al ricorrente un breve termine suppletorio per rimediarvi (art. 52 cpv. 2 PA); - che essa gli assegna questo termine con la comminatoria che, decorrendo in- fruttuoso, deciderà secondo l'inserto o, qualora manchino le conclusioni, i motivi oppure la firma, non entrerà nel merito del ricorso (art. 52 cpv. 3 PA); - che, allo scopo di verificare l'ammissibilità del ricorso, questo Tribunale ha invi- tato i patrocinatori della ricorrente a produrre i documenti che dimostrano che A. LLC esisteva il giorno in cui ha interposto ricorso nonché quelli che attestano che colui che ha firmato la procura è abilitato a rappresentare la società, pena l'inammissibilità del gravame (v. act. 8); - che nell’invito di cui sopra l'autorità ha evidenziato (in grassetto) che "non do- vesse la documentazione in questione essere trasmessa nel termine impartito, il ricorso sarà dichiarato inammissibile (art. 52 cpv. 2 e 3 PA)"; - che la ricorrente ha versato l’anticipo delle spese richiesto; - che trasmettendo il documento intitolato “Delaware – The First State”, redatto e firmato dal “Secretary of State of Delaware” C., essa ha dimostrato la propria esistenza al momento dell’inoltro del gravame (v. act. 12.1); - che il documento intitolato “Certificate of Incumbency” indica D. quale manager della società (v. act. 12.2); - che tale documento, oltre a non essere un atto ufficiale di un’autorità, non è nemmeno firmato; - che, pertanto, la società ricorrente non ha dimostrato che la persona che ha firmato la procura può rappresentarla giuridicamente dinanzi a questo Tribu- nale; - che, in definitiva, non avendo la società ricorrente fornito una procura valida, la presente autorità non entra nel merito del suo ricorso; - che la ricorrente, risultando soccombente data l'irricevibilità del suo gravame, deve sopportare le spese processuali cagionate (v. art. 63 cpv. 1 PA); - che visti gli art. 5 e 8 cpv. 3 del regolamento del Tribunale penale federale del</w:t>
      </w:r>
    </w:p>
    <w:p>
      <w:r>
        <w:t>- 4 -</w:t>
      </w:r>
    </w:p>
    <w:p>
      <w:r>
        <w:t>31 agosto 2010 sulle spese, gli emolumenti, le ripetibili e le indennità della pro- cedura penale federale (RSPPF; RS 173.713.162), richiamati gli art. 63 cpv. 4bis e 5 PA, la tassa di giustizia è fissata a fr. 1’000.– a carico della ricorrente; - che, visto l'anticipo delle spese di fr. 10'000.– già versato, la cassa del Tribunale restituirà alla ricorrente il saldo di fr. 9'000.–.</w:t>
      </w:r>
    </w:p>
    <w:p>
      <w:r>
        <w:t>- 5 -</w:t>
      </w:r>
    </w:p>
    <w:p>
      <w:r>
        <w:t>Per questi motivi, la Corte dei reclami penali pronuncia: 1. Il ricorso è inammissibile. 2. La tassa di giustizia di fr. 1'000.– è posta a carico della ricorrente. Essa è coperta dall’anticipo dei costi già versata di fr. 10'000.–. La cassa del Tribunale penale federale restituirà alla ricorrente il saldo di fr. 9'000.–.</w:t>
      </w:r>
    </w:p>
    <w:p>
      <w:r>
        <w:t>Bellinzona, 19 maggio 2020</w:t>
      </w:r>
    </w:p>
    <w:p>
      <w:r>
        <w:t>In nome della Corte dei reclami penali del Tribunale penale federale</w:t>
      </w:r>
    </w:p>
    <w:p>
      <w:r>
        <w:t>Il Presidente: Il Cancelliere:</w:t>
      </w:r>
    </w:p>
    <w:p>
      <w:r>
        <w:t>Comunicazione a: - Avv. Delphine Jobin e Matteo Pedrazzini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