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RR.2020.74 vom 3. Juni 2020</w:t>
      </w:r>
    </w:p>
    <w:p>
      <w:r>
        <w:t>Bundesstrafgericht, 2020-06-03, DE</w:t>
      </w:r>
    </w:p>
    <w:p>
      <w:r>
        <w:rPr>
          <w:b/>
        </w:rPr>
        <w:t xml:space="preserve">Quelle: </w:t>
      </w:r>
      <w:r>
        <w:t>https://mcp.opencaselaw.ch/entscheid/bstger_RR.2020.74</w:t>
      </w:r>
    </w:p>
    <w:p>
      <w:r>
        <w:t>FR: TPF RR.2020.74 du 3 juin 2020</w:t>
      </w:r>
    </w:p>
    <w:p>
      <w:r>
        <w:t>IT: TPF RR.2020.74 del 3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w:t>
      </w:r>
    </w:p>
    <w:p>
      <w:r>
        <w:t>- 5 -</w:t>
      </w:r>
    </w:p>
    <w:p>
      <w:r>
        <w:t>Vorbehalten bleibt die Wahrung der Menschenrechte (BGE 145 IV 294 E. 2.1 S. 297; 123 II 595 E. 7c S. 617; TPF 2016 65 E. 1.2).</w:t>
      </w:r>
    </w:p>
    <w:p>
      <w:r>
        <w:t>Auf Beschwerdeverfahren sind zudem die Bestimmungen des Bundesge- setzes vom 20. Dezember 1968 über das Verwaltungsverfahren (Verwal- 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der von der Schlussverfügung be- troffenen Bankkonten und damit zur Anfechtung der entsprechenden Rechtshilfemassnahmen legitimiert. Auf ihre form- und fristgerecht einge- reichte Beschwerde ist einzutreten.</w:t>
      </w:r>
    </w:p>
    <w:p>
      <w:r>
        <w:rPr>
          <w:b/>
        </w:rPr>
        <w:t>E. 2.1</w:t>
      </w:r>
    </w:p>
    <w:p>
      <w:r>
        <w:t>Die Beschwerdeführerin rügt zunächst die Darstellung des amerikanischen Ersuchens und bringt im Wesentlichen vor, es genüge den Anforderungen von Art. 29 RVUS und Art. 10 Abs. 1 BG-RVUS nicht (act. 1, S. 6 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w:t>
      </w:r>
    </w:p>
    <w:p>
      <w:r>
        <w:t>- 6 -</w:t>
      </w:r>
    </w:p>
    <w:p>
      <w:r>
        <w:t>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 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der B. SA hätten ausgeklügelte Geldwäschereihandlungen betrieben, um die Korruptions- zahlungen zu verschleiern. Dies oftmals mit Hilfe von professionellen Geldwäschern und anderen Personen. Im Rahmen dieser Praktiken hätten die B. SA und seine Mittler oftmals mehrere, auf den gleichen Namen lau- tende Konten bei verschiedenen Finanzinstituten eröffnet, um die Geldwä- scherei zu unterstützen und das Risiko von Compliance-Anfragen zu sen- ken. D. habe sich im Jahr 2006 an E. gewendet und E. habe sein Angebot angenommen, zwischen der B. SA und der Unternehmung J. zu vermitteln. Die Unternehmung J. sei der venezolanische Betreiber des Projekts K., für welches die B. SA einen Vertrag erhalten habe. In der Folge habe die B. SA ca. zwischen 2006 und 2009 über Konten seiner Abteilung für struk- turierte Arbeitsabläufe («DSO») Zahlungen an D. vorgenommen. Die ame- rikanischen Behörden gehen davon aus, dass D. einen Teil dieser Gelder an venezolanische Regierungsbeamte weitergeleitet habe, damit diese im Zusammenhang mit dem Projekt K. zugunsten der B. SA handelten. Den amerikanischen Behörden würden zudem Beweise vorliegen, dass D. zwi- schen 2009 und 2016 unter anderem von den von der DSO genutzten Kon- ten Gelder erhalten habe, und dass diese Zahlungen direkt oder indirekt auf von D. kontrollierte Konten in der Schweiz erfolgt seien. Weiter hätten die Ermittlungen ergeben, dass zwischen 2010 und 2016 ungefähr USD 180 Mio. von einem Bankkonto unter dem Namen Konsortium L. bei der Bank M. in Panama auf das Konto Nr. 5 bei der Bank F. überwiesen worden seien. Das Konto Nr. 5 laute auf die Beschwerdeführerin, die eben- falls von D. kontrolliert werde. Beim Konsortium L. handle es sich um ein</w:t>
      </w:r>
    </w:p>
    <w:p>
      <w:r>
        <w:t>- 7 -</w:t>
      </w:r>
    </w:p>
    <w:p>
      <w:r>
        <w:t>Konsortium zwischen der B. SA und weiteren zwei Rechtsträgern. Zwi- schen 2010 und 2018 seien vom Konto Nr. 5 der Beschwerdeführerin un- gefähr USD 54 Mio. auf diverse von D. kontrollierten Bankkonten in der Schweiz überwiesen worden. Des Weiteren hätten die Ermittlungen erge- ben, dass D. zwischen 2009 und 2015 Gelder von der B. SA auf Schweizer Konten überwiesen habe, die unter seinem Namen und demjenigen von E. geführt worden seien, und dass es sich bei diesen Zahlungen um Provisio- nen im Zusammenhang mit dem Bestechungskomplott von der B. SA han- deln könnte. Zu diesen Konten würden unter anderem die auf die Be- schwerdeführerin lautenden Konten Nrn. 1, 2, 3 und 4 bei den Banken F., G. und H. gehören. Schliesslich hätten die amerikanischen Behörden Be- weise dafür, dass Gelder aus den im Ersuchen genannten Konten zum Kauf von Immobilien in der Gegend von Miami, Florida, und Boston, Mas- sachusetts, zugunsten von D. und/oder E.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das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den Unternehmungen J. und B. SA vermittelt und von E. Gelder erhalten habe. Diese habe D. unter anderem an venezolanische Regierungsmitglie- der weitergeleitet, damit sie zugunsten der B. SA entschieden. Als Vortat der Geldwäscherei nahm der Beschwerdegegner gestützt auf die Angaben im Ersuchen richtigerweise den Tatbestand der Bestechung an, der im Üb- rigen in der Liste zum RVUS aufgeführt wird (Ziff. 22). Nicht zu bemängeln ist, dass die ersuchende Behörde die Bestechungshandlungen als Vortat nur allgemein umschreibt. Im Rechtshilfeverkehr ist dies nicht unüblich, zumal über die Vortat oftmals (noch) keine genaueren Kenntnisse vorlie- gen. Im Bereich der Geldwäscherei ist es als ausreichend zu erachten, wenn das Rechtshilfeersuchen verdächtige, geldwäschereitypische Hand- lungen schildert (BGE 130 II 329 E. 5.1; 129 II 97 E. 3; ENGLER, Basler Kommentar, Internationales Strafrecht, 2015, Art. 28 IRSG N. 21). Die D.</w:t>
      </w:r>
    </w:p>
    <w:p>
      <w:r>
        <w:t>- 8 -</w:t>
      </w:r>
    </w:p>
    <w:p>
      <w:r>
        <w:t>und E. vorgeworfenen Handlungen, namentlich der Transfer von Gelder ins Ausland, die mutmasslich aus Bestechungshandlungen stammen oder Provisionen für die Leistung von Bestechungsgeldern darstellen, können prima facie als Geldwäschereihandlungen i.S.v. Art. 305bis StGB qualifiziert werden (vgl. Urteil des Bundesgerichts 6B_416/2019 vom 4. Juli 2019 E. 4). Daran vermag auch der Umstand nichts zu ändern, dass die BA das in der Schweiz gegen D. eröffnete Verfahren am 6. Dezember 2019 einge- stellt hat. Im Gegensatz zum nationalen Strafverfahren wird im Rechtshilfe- verfahren nur eine prima facie Beurteilung des hinreichenden Tatverdachts vorgenommen und die Rechtshilfebehörde stützt sich hauptsächlich auf die Ausführungen der ersuchenden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 den auf die Beschwerdeführerin lau- tenden Konten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19. Dezember 2019 und 7. Januar 2020 mit, dass er für seinen Entscheid lediglich das Ersuchen vom 8. April 2019 beachte (Verfahrensakten, Schreiben BJ vom 19. Dezember 2019 und 7. Januar 2020). Dementsprechend ist auch nicht zu bemängeln, dass der Beschwerdegegner der Beschwerdeführerin das Ersuchen vom 2. Mai 2017 nicht sogleich, sondern erst auf Anfrage und in teilweise geschwärzter Form zustellte. Eine Verletzung des Anspruchs auf rechtliches Gehör ist unter diesen Umständen nicht auszumachen.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7 ff.).</w:t>
      </w:r>
    </w:p>
    <w:p>
      <w:r>
        <w:rPr>
          <w:b/>
        </w:rPr>
        <w:t>E. 3.2.1</w:t>
      </w:r>
    </w:p>
    <w:p>
      <w:r>
        <w:t>Gemäss Art. 3 Ziff. 1 lit. b RVUS kann die Rechtshilfe verweigert werden, soweit das Ersuchen sich auf die Strafverfolgung einer anderen, als einer unter Art. 6 Abs. 2 RVUS fallenden Person bezieht und Handlungen betrifft,</w:t>
      </w:r>
    </w:p>
    <w:p>
      <w:r>
        <w:t>- 9 -</w:t>
      </w:r>
    </w:p>
    <w:p>
      <w:r>
        <w:t>aufgrund derer sie im ersuchten Staat wegen einer im Wesentlichen ent- sprechenden Straftat rechtskräftig freigesprochen oder verurteilt wurde, 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Dieses betraf lediglich D. (act.1.11). Damit fehlt es am schützenswerten</w:t>
      </w:r>
    </w:p>
    <w:p>
      <w:r>
        <w:t>- 10 -</w:t>
      </w:r>
    </w:p>
    <w:p>
      <w:r>
        <w:t>Interesse der Beschwerdeführerin, sich auf den Grundsatz «ne bis in idem» zu berufen. Daran vermag auch der allfällige Umstand nichts zu ändern, dass D. bei ihr Organstellung hat. Selbst wenn die Beschwerdeführerin da- zu legitimiert wäre, kommt der Einstellungsverfügung in Bezug auf D. im Rechtshilfeverfahren keine Sperrwirkung zu (vgl. Art. 323 StPO). Der ange- fochtene Entscheid ist diesbezüglich nicht zu beanstanden und die Be- schwerde erweist sich auch in diesem Punkt als unbegründet. Entspre- chend kann auf den Beizug der Verfahrensakten des eingestellten Strafver- fahrens gegen D.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