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RR.2020.70 vom 3. Juni 2020</w:t>
      </w:r>
    </w:p>
    <w:p>
      <w:r>
        <w:t>Bundesstrafgericht, 2020-06-03, DE</w:t>
      </w:r>
    </w:p>
    <w:p>
      <w:r>
        <w:rPr>
          <w:b/>
        </w:rPr>
        <w:t xml:space="preserve">Quelle: </w:t>
      </w:r>
      <w:r>
        <w:t>https://mcp.opencaselaw.ch/entscheid/bstger_RR.2020.70</w:t>
      </w:r>
    </w:p>
    <w:p>
      <w:r>
        <w:t>FR: TPF RR.2020.70 du 3 juin 2020</w:t>
      </w:r>
    </w:p>
    <w:p>
      <w:r>
        <w:t>IT: TPF RR.2020.70 del 3 giugno 2020</w:t>
      </w:r>
    </w:p>
    <w:p>
      <w:pPr>
        <w:pStyle w:val="Heading2"/>
      </w:pPr>
      <w:r>
        <w:t>Regeste</w:t>
      </w:r>
    </w:p>
    <w:p>
      <w:r>
        <w:t>Internationale Rechtshilfe in Strafsachen an die Vereinigten Staaten von Amerika.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die Rechtshilfe zwischen den USA und der Schweiz sind primär der Staatsvertrag vom 25. Mai 1973 zwischen der Schweizerischen Eidgenos- senschaft und den Vereinigten Staaten von Amerika über gegenseitige Rechtshilfe in Strafsachen (RVUS; SR 0.351.933.6) sowie das Bundesge- setz vom 3. Oktober 1975 zu diesem Staatsvertrag (BG-RVUS; SR 351.93) massgebend.</w:t>
      </w:r>
    </w:p>
    <w:p>
      <w:r>
        <w:rPr>
          <w:b/>
        </w:rPr>
        <w:t>E. 1.2</w:t>
      </w:r>
    </w:p>
    <w:p>
      <w:r>
        <w:t>Soweit dieser Staatsvertrag und das BG-RVUS bestimmte Fragen nicht abschliessend regeln, gelangen das Bundesgesetz über internationale Rechtshilfe in Strafsachen vom 20. März 1981 (Rechtshilfegesetz, IRSG; SR 351.1) und die dazugehörige Verordnung vom 24. Februar 1982 (Rechtshilfeverordnung, IRSV; SR 351.11) zur Anwendung (Art. 36a BG- RVUS und Art. 1 Abs. 1 lit. b IRSG). Das innerstaatliche Recht gelangt nach dem Günstigkeitsprinzip auch dann zur Anwendung, wenn dieses ge- ringere Anforderungen an die Rechtshilfe stellt (vgl. Art. 38 Abs. 1 RVUS; BGE 145 IV 294 E. 2.1 S. 297; 142 IV 250 E. 3; 140 IV 123 E. 2 S. 126).</w:t>
      </w:r>
    </w:p>
    <w:p>
      <w:r>
        <w:t>- 4 -</w:t>
      </w:r>
    </w:p>
    <w:p>
      <w:r>
        <w:t>Vorbehalten bleibt die Wahrung der Menschenrechte (BGE 145 IV 294 E. 2.1 S. 297; 123 II 595 E. 7c S. 617; TPF 2016 65 E. 1.2).</w:t>
      </w:r>
    </w:p>
    <w:p>
      <w:r>
        <w:t>Auf Beschwerdeverfahren sind zudem die Bestimmungen des Bundesge- setzes vom 20. Dezember 1968 über das Verwaltungsverfahren (Verwal- tungsverfahrensgesetz, VwVG; SR 172.021) anwendbar (Art. 7 Abs. 1 BG- RVUS, Art. 39 Abs. 2 lit. b i.V.m. Art. 37 Abs. 2 lit. a Ziff. 4 StBOG).</w:t>
      </w:r>
    </w:p>
    <w:p>
      <w:r>
        <w:rPr>
          <w:b/>
        </w:rPr>
        <w:t>E. 2.1</w:t>
      </w:r>
    </w:p>
    <w:p>
      <w:r>
        <w:t>Die Schlussverfügung der Zentralstelle USA des BJ unterliegt zusammen mit den vorangehenden Zwischenverfügungen der Beschwerde an die Be- schwerdekammer des Bundesstrafgerichts (Art. 17 Abs. 1 BG-RVUS). Die entsprechende Beschwerdefrist beträgt 30 Tage ab der schriftlichen Mittei- lung der Verfügung (Art. 17c BG-RVUS).</w:t>
      </w:r>
    </w:p>
    <w:p>
      <w:r>
        <w:t>Die vorliegende Beschwerde richtet sich gegen eine Schlussverfügung der Zentralstelle USA des BJ. Die vorliegende Beschwerde wurde form- und fristgerecht erhoben.</w:t>
      </w:r>
    </w:p>
    <w:p>
      <w:r>
        <w:rPr>
          <w:b/>
        </w:rPr>
        <w:t>E. 2.2</w:t>
      </w:r>
    </w:p>
    <w:p>
      <w:r>
        <w:t>Zur Beschwerdeführung ist berechtigt, wer persönlich und direkt von einer Rechtshilfemassnahme betroffen ist und ein schutzwürdiges Interesse an deren Aufhebung oder Änderung hat (Art. 17a BG-RVUS). Als persönlich und direkt betroffen gilt namentlich der Kontoinhaber bei der Erhebung von Informationen hinsichtlich des auf ihn lautenden Kontos (BGE 137 IV 134 E. 5.2.1 S. 138; 130 II 162 E. 1.3 S. 165; 128 II 211 E. 2.3-2.5; 124 II 180 E. 1b; 118 Ib 547 E. 1d; TPF 2011 131 E. 2.2).</w:t>
      </w:r>
    </w:p>
    <w:p>
      <w:r>
        <w:t>Bloss wirtschaftlich an einem Bankkonto, Banksafe oder Wertschriftende- pot Berechtigte sind im Gegensatz zu deren Inhaber grundsätzlich nicht le- gitimiert, Rechtshilfemassnahmen anzufechten, welche die Bankverbin- dung betreffen (BGE 139 II 404 E. 2.1.1 S. 411 f. m.w.H.; Urteil des Bun- desgerichts 1C_764/2013 vom 27. September 2013 E. 2.1; TPF 2008 172 E. 1.3). Eine Ausnahme lässt die Praxis zu, falls einzige Kontoinhaberin eine juristische Person war, die aufgelöst worden ist und nicht mehr be- steht, und die Auflösung der Gesellschaft nicht nur vorgeschoben oder rechtsmissbräuchlich erscheint (BGE 137 IV 134 E. 5.2.1 S. 138 m.w.H.; 123 II 153 E. 2c-d S. 157 f.). Die Beweislast für die wirtschaftliche Berechti- gung und die Liquidation der Gesellschaft obliegt dem Rechtsuchenden. Darüber hinaus muss der wirtschaftlich Berechtigte im Auflösungsakt ein- deutig als Begünstigter des Liquidationsgewinns bezeichnet sein (Urteile des Bundesgerichts 1C_183/2012 vom 12. April 2012 E. 1.5; 1C_161/2011</w:t>
      </w:r>
    </w:p>
    <w:p>
      <w:r>
        <w:t>- 5 -</w:t>
      </w:r>
    </w:p>
    <w:p>
      <w:r>
        <w:t>vom 11. April 2011 E. 1.3; 1A.284/2003 vom 11. Februar 2004 E. 1; 1A.212/2001 vom 21. März 2002 E. 1.3.2; 1A.84/1999 vom 31. Mai 1999 E. 2c; Entscheid des Bundesstrafgerichts RR.2009.151 vom 11. September 2009 E. 1.3.2). Der Beweis des Zuflusses des Liquidationserlöses der auf- gelösten Gesellschaft an den wirtschaftlich Berechtigten kann auch anders als mit der Bescheinigung über die Auflösung erbracht werden (Urteil des Bundesgerichts 1C_370/2012 vom 3. Oktober 2012 E. 2.7).</w:t>
      </w:r>
    </w:p>
    <w:p>
      <w:r>
        <w:rPr>
          <w:b/>
        </w:rPr>
        <w:t>E. 2.3</w:t>
      </w:r>
    </w:p>
    <w:p>
      <w:r>
        <w:t>Von der Rechtshilfemassnahme betroffen sind die Konten Nrn. 1 und 5 bei der Bank E., Nr. 2 bei der Bank F. und Nr. 4 bei der Bank I., alle lautend auf die H. BV LLC (act. 1.2). Soweit ersichtlich ist die H. BV LLC bis zum heuti- gen Datum nicht aufgelöst und somit partei- und prozessfähig. In diesem Sinne sind auch die Ausführungen des Beschwerdeführers zu verstehen, als er angibt, dass die H. BV LLC nicht mehr aktiv sei und er die Be- schwerde als wirtschaftlich Berechtigter erhebe (act. 1, S. 2). Dass die H. BV LLC nicht mehr handlungsfähig wäre, geht weder aus den vorliegen- den Unterlagen hervor noch wird dies vom Beschwerdeführer behauptet. Somit wäre grundsätzlich die H. BV LLC als Inhaberin der vorgenannten Konten beschwerdebefugt, die im Übrigen gegen dieselbe Schlussverfü- gung vom 31. Januar 2020 ebenfalls Beschwerde erhob hat (RR.2020.74).</w:t>
      </w:r>
    </w:p>
    <w:p>
      <w:r>
        <w:rPr>
          <w:b/>
        </w:rPr>
        <w:t>E. 3</w:t>
      </w:r>
    </w:p>
    <w:p>
      <w:r>
        <w:t>Nach dem Gesagten ist auf die Beschwerde nicht einzutreten.</w:t>
      </w:r>
    </w:p>
    <w:p>
      <w:r>
        <w:rPr>
          <w:b/>
        </w:rPr>
        <w:t>E. 4</w:t>
      </w:r>
    </w:p>
    <w:p>
      <w:r>
        <w:t>Bei diesem Ausgang des Verfahrens sind die Gerichtskosten dem Be- schwerdeführer aufzuerlegen (Art. 63 Abs. 1 VwVG). Die Gerichtsgebühr ist auf Fr. 1'000.-- festzusetzen (vgl. Art. 63 Abs. 5 VwVG i.V.m. Art. 73 StBOG sowie Art. 5 und 8 Abs. 3 lit. a des Reglements des Bundesstrafge- richts vom 31. August 2010 über die Kosten, Gebühren und Entschädigun- gen in Bundesstrafverfahren [BStKR; SR 173.713.162]), unter Anrechnung des entsprechenden Betrages am geleisteten Kostenvorschuss von Fr. 5‘000.--. Die Bundesstrafgerichtskasse ist anzuweisen, dem Beschwer- deführer Fr. 4‘000.-- zurückzuerstatten.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