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RR.2020.59 vom 2. Dezember 2020</w:t>
      </w:r>
    </w:p>
    <w:p>
      <w:r>
        <w:t>Bundesstrafgericht, 2020-12-02, DE</w:t>
      </w:r>
    </w:p>
    <w:p>
      <w:r>
        <w:rPr>
          <w:b/>
        </w:rPr>
        <w:t xml:space="preserve">Quelle: </w:t>
      </w:r>
      <w:r>
        <w:t>https://mcp.opencaselaw.ch/entscheid/bstger_RR.2020.59</w:t>
      </w:r>
    </w:p>
    <w:p>
      <w:r>
        <w:t>FR: TPF RR.2020.59 du 2 décembre 2020</w:t>
      </w:r>
    </w:p>
    <w:p>
      <w:r>
        <w:t>IT: TPF RR.2020.59 del 2 dicembre 2020</w:t>
      </w:r>
    </w:p>
    <w:p>
      <w:pPr>
        <w:pStyle w:val="Heading2"/>
      </w:pPr>
      <w:r>
        <w:t>Regeste</w:t>
      </w:r>
    </w:p>
    <w:p>
      <w:r>
        <w:t>Internationale Rechtshilfe in Strafsachen an die Republik Österreich. Herausgabe von Beweismitteln (Art. 74 IRSG).</w:t>
      </w:r>
    </w:p>
    <w:p>
      <w:pPr>
        <w:pStyle w:val="Heading2"/>
      </w:pPr>
      <w:r>
        <w:t>Erwägungen</w:t>
      </w:r>
    </w:p>
    <w:p>
      <w:r>
        <w:rPr>
          <w:b/>
        </w:rPr>
        <w:t>E. 1.1</w:t>
      </w:r>
    </w:p>
    <w:p>
      <w:r>
        <w:t>Für die Rechtshilfe zwischen der Schweiz und Österreich sind in erster Linie massgebend das Europäische Übereinkommen über die Rechtshilfe in Straf- sachen vom 20. April 1959 (EUeR; SR 0.351.1), der zwischen den beiden Staaten abgeschlossene Vertrag vom 13. Juni 1972 über die Ergänzung des EUeR und die Erleichterung seiner Anwendung (ZV-EUeR; SR 0.351.916.32) sowie die Bestimmungen der Art. 48 ff. des Übereinkom- mens vom 19. Juni 1990 zur Durchführung des Übereinkommens von Schengen vom 14. Juni 1985 (Schengener Durchführungsübereinkommen, SDÜ; ABl. L 239 vom 22. September 2000, S. 19 – 62).</w:t>
      </w:r>
    </w:p>
    <w:p>
      <w:r>
        <w:rPr>
          <w:b/>
        </w:rPr>
        <w:t>E. 1.2</w:t>
      </w:r>
    </w:p>
    <w:p>
      <w:r>
        <w:t>Soweit die Staatsverträge bestimmte Fragen weder ausdrücklich noch still- schweigend regeln, bzw. das schweizerische Landesrecht geringere Anfor- 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Die Beschwerdeführerin bringt vor, die Übermittlung ihres Strafurteils lege der ersuchenden Behörde den detaillierten Urteilsinhalt offen, was ihr Per- sönlichkeitsrecht verletze. Sie sei daher zur Beschwerde legitimiert (act. 1 S. 3 Ziff. 4).</w:t>
      </w:r>
    </w:p>
    <w:p>
      <w:r>
        <w:t>- 4 -</w:t>
      </w:r>
    </w:p>
    <w:p>
      <w:r>
        <w:rPr>
          <w:b/>
        </w:rPr>
        <w:t>E. 2.2</w:t>
      </w:r>
    </w:p>
    <w:p>
      <w:r>
        <w:t>Das Gesetz bezeichnet insbesondere die Herausgabe von Akten und Schrift- stücken als Rechtshilfemassnahmen (Art. 63 Abs. 2 lit. c IRSG). Strafent- scheidungen oder Strafakten können grundsätzlich nicht im Rahmen des po- lizeilichen Verkehrs herausgegeben werden (Art. 75a Abs. 2 lit. c IRSG). Zur Beschwerdeführung ist berechtigt, wer persönlich und direkt von einer Rechtshilfemassnahme betroffen ist und ein schutzwürdiges Interesse an deren Aufhebung oder Änderung hat (Art. 80h lit. b IRSG). Personen, gegen die sich das ausländische Strafverfahren richtet, können Verfügungen nur anfechten, wenn eine Rechtshilfemassnahme sie persönlich und direkt be- trifft und sie ein schutzwürdiges Interesse an deren Aufhebung oder Ände- rung haben (Art. 21 Abs. 3 IRSG). Die Beschlagnahme von Urkunden, die sich in den Händen von Dritten be- finden, kann ein von der Zwangsmassnahme nur indirekt Betroffener nicht selbst anfechten. Dies gilt auch dann, wenn die Urkunden Informationen zu Aktivitäten des indirekt Betroffenen enthalten (BGE 130 II 162 E. 1.2–1.3 S. 164 f.; 123 II 161 E. 1d/bb S. 164 f.; 122 II 130 E. 2b S. 133). Der Verfasser von Dokumenten, die sich im Besitz eines Dritten befinden, ist durch die den Dritten betreffende Verpflichtung zur Edition nicht persönlich berührt (BGE 122 II 130 E. 2b S. 133; 116 Ib 106 E. 2a/aa S. 110 f.; zum Ganzen BGE 137 IV 134 E. 5.2.3). Kein persönliches schutzwürdiges Interesse hat, wenn die Unterlagen einfach Informationen zu Aktivitäten eines Beschwer- deführers enthalten (BGE 137 IV 134 E. 5.2.3 mit Hinweisen). Es genügt nicht, dass sich die ausländische Strafuntersuchung gegen einen Beschwer- deführer richtet oder die Rechtshilfemassnahme ein ausländisches Verfah- ren fördert (BGE 116 Ib 106 E. 2a).</w:t>
      </w:r>
    </w:p>
    <w:p>
      <w:r>
        <w:rPr>
          <w:b/>
        </w:rPr>
        <w:t>E. 2.3</w:t>
      </w:r>
    </w:p>
    <w:p>
      <w:r>
        <w:t>Geht es um die Herausgabe von Strafurteilen, so hat die Beschwerdekam- mer im Entscheid RR.2013.228 vom 25. Februar 2014 (E. 2.2.3 S. 11, E. 2.4.3 S. 12 f.) die Beschwerdelegitimation verneint (dazu Urteil des Bun- desgerichts 1C_127/2014 vom 18. März 2014). Vorliegend musste sich die Beschwerdeführerin im Rechtshilfeverfahren kei- ner Zwangsmassnahme unterziehen. Das herauszugebende Urteil stammt vielmehr aus inländischen Strafakten. Wohl betrifft es die Beschwerdeführe- rin und wohl ist sie im Urteil namentlich erwähnt. Dies alleine begründet indes noch keine Beschwerdelegitimation. Ihr fehlt vorliegend vielmehr ein schutz- würdiges Interesse, die Herausgabe anzufechten (vgl. TPF 2007 79 E. 1.6.7): Das Strafurteil ist ergangen in einem öffentlichen Verfahren, worin die Sach- und Rechtslage eingehend geprüft wurde. Sie konnte es bereits mit Rechtsmitteln anfechten. Sie ist rechtskräftig verurteilt. Die Beschwerde-</w:t>
      </w:r>
    </w:p>
    <w:p>
      <w:r>
        <w:t>- 5 -</w:t>
      </w:r>
    </w:p>
    <w:p>
      <w:r>
        <w:t>führerin hat nicht dargelegt, wie sie dennoch einen Anspruch auf Geheim- haltung ihrer Verurteilung habe. Fehlt so das schutzwürdige Interesse, ist auf ihre Beschwerde nicht einzutreten.</w:t>
      </w:r>
    </w:p>
    <w:p>
      <w:r>
        <w:rPr>
          <w:b/>
        </w:rPr>
        <w:t>E. 3</w:t>
      </w:r>
    </w:p>
    <w:p>
      <w:r>
        <w:t>Bei diesem Ausgang des Verfahrens sind die Gerichtskosten der Beschwer- deführerin aufzuerlegen (Art. 63 Abs. 1 VwVG). Die Gerichtsgebühr ist auf Fr. 1‘000.-- festzusetzen (vgl. Art. 63 Abs. 5 VwVG i.V.m. Art. 73 StBOG sowie Art. 5 und 8 Abs. 3 lit. a des Reglements des Bundesstrafgerichts vom 31. August 2010 über die Kosten, Gebühren und Entschädigungen in Bun- desstrafverfahren [BStKR; SR 173.713.162]), unter Anrechnung des ent- sprechenden Betrages am geleisteten Kostenvorschuss von Fr. 3‘000.--. Die Bundesstrafgerichtskasse ist anzuweisen, der Beschwerdeführerin Fr. 2‘000.-- zurückzuerstatten.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