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RR.2020.54 vom 14. Mai 2020</w:t>
      </w:r>
    </w:p>
    <w:p>
      <w:r>
        <w:t>Bundesstrafgericht, 2020-05-14, DE</w:t>
      </w:r>
    </w:p>
    <w:p>
      <w:r>
        <w:rPr>
          <w:b/>
        </w:rPr>
        <w:t xml:space="preserve">Quelle: </w:t>
      </w:r>
      <w:r>
        <w:t>https://mcp.opencaselaw.ch/entscheid/bstger_RR.2020.54</w:t>
      </w:r>
    </w:p>
    <w:p>
      <w:r>
        <w:t>FR: TPF RR.2020.54 du 14 mai 2020</w:t>
      </w:r>
    </w:p>
    <w:p>
      <w:r>
        <w:t>IT: TPF RR.2020.54 del 14 maggio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 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 onen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 MANN, La coopération judiciaire internationale en matière pénale, 5. Aufl. 2019, N. 229), sind das Bundesgesetz vom 20. März 1981 über internatio- nale Rechtshilfe in Strafsachen (IRSG; SR 351.1) und die dazugehörige Verordnung vom 24. Februar 1982 (IRSV; SR 351.11) anwendbar (Art. 1 Abs. 1 IRSG, Art. 32 Ziff. 1 RV-BRA; BGE 143 IV 91 E. 1.3; 136 IV 82 E. 3.2; 130 II 337 E. 1; vgl. auch Art. 54 StPO). Vorbehalten bleibt die Wah- rung der Menschenrechte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w:t>
      </w:r>
    </w:p>
    <w:p>
      <w:r>
        <w:t>- 4 -</w:t>
      </w:r>
    </w:p>
    <w:p>
      <w:r>
        <w:t>E. 6/8.2; Urteil des Bundesgerichts 1C_763/2013 vom 27. September 2013 E. 2.2; ZIMMERMANN, a.a.O., N. 273).</w:t>
      </w:r>
    </w:p>
    <w:p>
      <w:r>
        <w:rPr>
          <w:b/>
        </w:rPr>
        <w:t>E. 2.1</w:t>
      </w:r>
    </w:p>
    <w:p>
      <w:r>
        <w:t>Die Schlussverfügung der ausführenden kantonalen Behörde oder Bun- desbehörde unterliegt zusammen mit den vorangehenden Zwischenverfü- gungen der Beschwerde an die Beschwerdekammer des Bundesstrafge- richts (Art. 25 Abs. 1 und Art. 80e Abs. 1 IRSG i.V.m. Art. 37 Abs. 2 lit. a Ziff. 1 StBOG). Die Beschwerdefrist gegen die Schlussverfügung beträgt 30 Tage ab der schriftlichen Mitteilung der Verfügung (Art. 80k IRSG).</w:t>
      </w:r>
    </w:p>
    <w:p>
      <w:r>
        <w:t>Die vorliegende Beschwerde richtet sich gegen eine Schlussverfügung der ausführenden Bundesbehörde. Die vorliegende Beschwerde wurde form- und fristgerecht erhoben.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der Art. 21 Abs. 3 und Art. 80h IRSG gilt bei der Erhebung von Kontoinformationen der Kontoinhaber (Art. 9a IRSV).</w:t>
      </w:r>
    </w:p>
    <w:p>
      <w:r>
        <w:t>Bloss wirtschaftlich an einem Bankkonto, Banksafe oder Wertschriftende- pot Berechtigte sind im Gegensatz zu deren Inhaber grundsätzlich nicht le- gitimiert, Rechtshilfemassnahmen anzufechten, welche die Bankverbin- dung betreffen (BGE 139 II 404 E. 2.1.1 S. 411 f. m.w.H.; Urteil des Bun- desgerichts 1C_764/2013 vom 27. September 2013 E. 2.1; TPF 2008 172 E. 1.3). Eine Ausnahme lässt die Praxis zu, falls einzige Kontoinhaberin ei- ne juristische Person war, die aufgelöst worden ist und nicht mehr besteht, und die Auflösung der Gesellschaft nicht nur vorgeschoben oder rechts- missbräuchlich erscheint (BGE 137 IV 134 E. 5.2.1 S. 138 m.w.H.; 123 II 153 E. 2c-d S. 157 f.). Die Beweislast für die wirtschaftliche Berechtigung und die Liquidation der Gesellschaft obliegt dem Rechtsuchenden. Darüber hinaus muss der wirtschaftlich Berechtigte im Auflösungsakt eindeutig als Begünstigter des Liquidationsgewinns bezeichnet sein (Urteile des Bun- desgerichts 1C_183/2012 vom 12. April 2012 E. 1.5; 1C_161/2011 vom 11. April 2011 E. 1.3; 1A.284/2003 vom 11. Februar 2004 E. 1; 1A.212/2001 vom 21. März 2002 E. 1.3.2; 1A.84/1999 vom 31. Mai 1999 E. 2c; Ent- scheid des Bundesstrafgerichts RR.2009.151 vom 11. September 2009 E. 1.3.2). Der Beweis des Zuflusses des Liquidationserlöses der aufgelös- ten Gesellschaft an den wirtschaftlich Berechtigten kann auch anders als</w:t>
      </w:r>
    </w:p>
    <w:p>
      <w:r>
        <w:t>- 5 -</w:t>
      </w:r>
    </w:p>
    <w:p>
      <w:r>
        <w:t>mit der Bescheinigung über die Auflösung erbracht werden (Urteil des Bun- desgerichts 1C_370/2012 vom 3. Oktober 2012 E. 2.7).</w:t>
      </w:r>
    </w:p>
    <w:p>
      <w:r>
        <w:rPr>
          <w:b/>
        </w:rPr>
        <w:t>E. 2.3</w:t>
      </w:r>
    </w:p>
    <w:p>
      <w:r>
        <w:t>Von der Rechtshilfemassnahme betroffen ist das Konto Nr. 1 bei der Bank D., lautend auf die E. Ltd. (act. 1.1). Aktenkundig ist die Auflösung der E. Ltd. per 26. September 2016 (act. 1.6). Am 12. Oktober 2016 ersuchte der Beschwerdeführer die Bank D. das hier gegenständliche Konto zu schlies- sen und den Betrag von USD 936‘343.-- auf das Konto Nr. 2, lautend auf die F. zu überweisen, an welcher der Beschwerdeführer wirtschaftlich be- rechtigt ist (act. 1.8). Somit wäre grundsätzlich die F. beschwerdebefugt. Da die vorliegende Beschwerde ohnehin abzuweisen ist, kann die Frage der Beschwerdelegitimation des Beschwerdeführers offengelassen werden.</w:t>
      </w:r>
    </w:p>
    <w:p>
      <w:r>
        <w:rPr>
          <w:b/>
        </w:rPr>
        <w:t>E. 3.1</w:t>
      </w:r>
    </w:p>
    <w:p>
      <w:r>
        <w:t>In formeller Hinsicht macht der Beschwerdeführer eine Verletzung seines Anspruchs auf rechtliches Gehör geltend und bringt vor, die angefochtene Schlussverfügung sei unzureichend begründet (act. 1, S. 17 ff.; act. 13).</w:t>
      </w:r>
    </w:p>
    <w:p>
      <w:r>
        <w:rPr>
          <w:b/>
        </w:rPr>
        <w:t>E. 3.2</w:t>
      </w:r>
    </w:p>
    <w:p>
      <w:r>
        <w:t>Der Anspruch der Parteien auf rechtliches Gehör ergibt sich aus Art. 29 Abs. 2 BV. Daraus fliesst als Teilgehalt die Pflicht der Behörde, die Vor- bringen der Beteiligten tatsächlich zu hören, zu prüfen und bei der Ent- scheidfindung zu berücksichtigen. Ausserdem hat die Behörde ihren Ent- scheid zu begründen, wobei sie wenigstens kurz die wesentlichen Überle- gungen nennen muss, von denen sie sich hat leiten lassen (BGE 142 I 135 E. 2.1; 138 I 232 E. 5.1 S. 237; 137 II 266 E. 3.2 S. 270; 136 I 229 E. 5.2 S. 236; Urteil des Bundesgerichts 6B_111/2015 vom 3. März 2016 E. 2.4 [in BGE 142 IV 196 nicht publizierte Erwägung]). Der Anspruch auf rechtli- ches Gehör wird im schweizerischen Rechtshilfeverfahren durch Art. 80b IRSG und Art. 26 ff. VwVG i.V.m. Art. 12 Abs. 1 IRSG konkretisiert.</w:t>
      </w:r>
    </w:p>
    <w:p>
      <w:r>
        <w:rPr>
          <w:b/>
        </w:rPr>
        <w:t>E. 3.3</w:t>
      </w:r>
    </w:p>
    <w:p>
      <w:r>
        <w:t>Entgegen der Ansicht des Beschwerdeführers legte die Beschwerdegegne- rin in der angefochtenen Schlussverfügung dar, weshalb sie einen Konnex zwischen dem hier gegenständlichen Bankkonto und dem brasilianischen Strafverfahren als gegeben erachtet. Namentlich weist die Beschwerde- gegnerin darauf hin, dass das auf die E. Ltd. lautende Konto im Ersuchen ausdrücklich als eines der Bankkonten genannt werde, das zur Verschleie- rung der Herkunft und des Zwecks der mutmasslich B. gehörenden Beste- chungsgelder gedient habe. Gestützt darauf kam sie zum Schluss, dass die herauszugebenden Unterlagen für das brasilianische Strafverfahren von Nutzen sein könnten und die Rechtshilfemassnahme verhältnismässig ist (act. 1.1, Ziff. 3). Dass die Beschwerdegegnerin dabei nicht auf einzelne</w:t>
      </w:r>
    </w:p>
    <w:p>
      <w:r>
        <w:t>- 6 -</w:t>
      </w:r>
    </w:p>
    <w:p>
      <w:r>
        <w:t>Transaktionen einging, die sich aus den editierten Bankunterlagen erge- ben, ist nicht zu beanstanden. Jedenfalls hat die Begründung der ange- fochtenen Schlussverfügung dem Beschwerdeführer erlaubt, die vorliegen- de Beschwerde zu erheben und diese rechtsgenüglich zu begründen. Dar- aus lässt sich schliessen, dass die Begründung der Schlussverfügung den verfassungs- und gesetzmässigen Anforderungen entspricht. Ob die Be- gründung auch inhaltlich korrekt ist, ist eine materielle Frage und wird in den folgenden Erwägungen zu prüfen sein. Nach dem Gesagten ist eine Gehörsverletzung nicht zu erkennen. Die Rüge geht fehl.</w:t>
      </w:r>
    </w:p>
    <w:p>
      <w:r>
        <w:rPr>
          <w:b/>
        </w:rPr>
        <w:t>E. 4.1</w:t>
      </w:r>
    </w:p>
    <w:p>
      <w:r>
        <w:t>Gemäss Art. 24 Ziff. 1 RV-BRA haben Rechtshilfeersuchen nebst anderem folgenden Angaben zu enthalten: die Behörde, von der es ausgeht, und gegebenenfalls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 stände der Tatbegehung), der im ersuchenden Staat Anlass zum Verfahren gibt. Art. 46 Abs. 15 UNCAC, Art. 28 Abs. 2 und 3 IRSG sowie Art. 10 Abs. 2 IRSV stellen entsprechende Voraussetzungen an das Rechtshilfeer- suchen (vgl. Urteil des Bundesgerichts 1C_126/2014 vom 16. Mai 2014 E. 4.2). Der ersuchte Vertragsstaat kann ergänzende Angaben anfordern, wenn dies für die Erledigung des Ersuchens nach seinem innerstaatlichen Recht erforderlich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 febegehren nicht dazu auszusprechen, ob die darin angeführten Tatsachen zutreffen oder nicht. Sie hat somit weder Tat- noch Schuldfragen zu prüfen und grundsätzlich auch keine Beweiswürdigung vorzunehmen. Sie ist viel-</w:t>
      </w:r>
    </w:p>
    <w:p>
      <w:r>
        <w:t>- 7 -</w:t>
      </w:r>
    </w:p>
    <w:p>
      <w:r>
        <w:t>mehr an die Darstellung des Sachverhaltes im Ersuchen und dessen allfäl- ligen Ergänzungen gebunden, soweit diese nicht durch offensichtliche Feh- ler, Lücken oder Widersprüche sofort entkräftet wird (BGE 139 II 451 E. 2.2.1; 136 IV 4 E. 4.1; 133 IV 76 E. 2.2; TPF 2011 194 E. 2.1 S. 196; TPF 2007 150 E. 3.2.4; ZIMMERMANN, a.a.O., N. 293, 302).</w:t>
      </w:r>
    </w:p>
    <w:p>
      <w:r>
        <w:rPr>
          <w:b/>
        </w:rPr>
        <w:t>E. 4.2</w:t>
      </w:r>
    </w:p>
    <w:p>
      <w:r>
        <w:t>Dem brasilianischen Rechtshilfeersuchen vom 21. Juni 2018 lässt sich zu- sammenfassend Folgendes entnehmen (act. 1.19):</w:t>
      </w:r>
    </w:p>
    <w:p>
      <w:r>
        <w:t>B. soll während seiner Amtszeit als […] von Rio de Janeiro (2007 bis 2014) an der Spitze eines organisierten Netzwerkes gestanden haben, das unter anderem alle wichtigen öffentlichen Verträge zwecks Leistung von Beste- chungsgeldern mit 5 % überfakturiert habe. B. habe mehr als USD 100 Mio. an Bestechungsgeldern erhalten. Die erhaltenen Bestechungsgelder seien unter anderem ins Ausland, namentlich auf Konten von Offshore- Gesellschaften geflossen und auf diese Weise gewaschen worden. Die Geldwäschereivorgänge seien infolge der Kooperation der Brüder G. ent- deckt worden, die als «operateurs financiers» von B. für die Verwaltung der Bestechungsgelder und für den Transfer ins Ausland verantwortlich gewe- sen seien. Aufgrund der exorbitanten Summe der von B. erhaltenen Beste- chungsgelder hätten die Brüder G. auf die Dienstleistungen von in Uruguay wohnhaften H. und I. zurückgegriffen, die auf dem Schwarzmarkt als «J.» und «K.» bekannt gewesen seien. Nach ihrer Verhaftung in Uruguay hätten H. und I. eine Kollaborationsvereinbarung unterzeichnet und die ihnen vor- geworfenen kriminellen Handlungen gestanden. Namentlich hätten sie an- gegeben, die aus Korruption stammenden Mittel von B. ins Ausland trans- feriert und dabei auf ein weites Geldwäschereinetzwerk zurückgegriffen zu haben. Dieses Netzwerk bestehe aus dutzenden Finanzagenten, die es ermöglicht hätten, die Vermögenswerte in Banksystemen zu verschieben und behördlichen Kontrollen zu entgehen. B. sei nur einer der Staatsfunkti- onäre, der von den Geldwäschereipraktiken von H. und I. profitiert habe. Ferner hätten H. und I. zugegeben, dass sie während 25 Jahren der Orga- nisationsstruktur der Gesellschaft M. im Bereich der Bestechungsgelder angehört hätten. Um Eingänge und Ausgänge der Geldflüsse von solch hohem Umfang kontrollieren zu können, hätten H. und I. das computerisier- te System namens «L.» kreiert. Darin seien alle Transaktionen von Beste- chungsgeldern, die Begünstigten sowie die Empfängerbanken und –konten verzeichnet worden. Das System weise ein Register mit über 3’000 Offsho- re-Gesellschaften in 53 Länder auf und die Transaktionssumme belaufe sich auf über USD 1'632’000'000.--. Davon seien rund USD 348 Mio. in die Schweiz überwiesen worden. Die Analyse des «L.» Systems habe erge-</w:t>
      </w:r>
    </w:p>
    <w:p>
      <w:r>
        <w:t>- 8 -</w:t>
      </w:r>
    </w:p>
    <w:p>
      <w:r>
        <w:t>ben, dass auf das Konto Nr. 1 bei der Bank D., lautend auf die E. Ltd., eine Transaktion im Umfang von USD 150‘000.-- erfolgt sei.</w:t>
      </w:r>
    </w:p>
    <w:p>
      <w:r>
        <w:rPr>
          <w:b/>
        </w:rPr>
        <w:t>E. 4.3</w:t>
      </w:r>
    </w:p>
    <w:p>
      <w:r>
        <w:t>Die Sachverhaltsdarstellung im Ersuchen vermag den oben erwähnten ge- setzlichen Anforderungen sowie der diesbezüglichen Rechtsprechung zu genügen und ist weder mit offensichtlichen Fehlern noch mit Lücken behaf- tet. Insbesondere wird darin ausführlich dargelegt, in welchem Zeitraum und unter Beteiligung welcher Personen die mutmasslich B. gehörende Be- stechungsgelder gewaschen worden seien. Ebenso sind im Ersuchen keine widersprüchlichen Angaben zu erkennen. Folglich ist der im brasilianischen Ersuchen dargestellte Sachverhalt für den Rechtshilferichter bindend und den nachfolgenden Erwägungen zugrunde zu legen.</w:t>
      </w:r>
    </w:p>
    <w:p>
      <w:r>
        <w:rPr>
          <w:b/>
        </w:rPr>
        <w:t>E. 4.4</w:t>
      </w:r>
    </w:p>
    <w:p>
      <w:r>
        <w:t>Gestützt auf die Darstellung im Ersuchen lässt sich auch die doppelte Strafbarkeit beurteilen, welche vom Beschwerdeführer im Übrigen nicht in Frage gestellt wird. Namentlich geht aus dem Ersuchen ausreichend her- vor, dass B. während seiner Zeit als […] von Rio de Janeiro über USD 100 Mio. an Bestechungsgeldern im Zusammenhang mit Vergaben im öffentli- chen Beschaffungswesen erhalten haben soll, die anschliessend mittels ei- nes weiten Netzwerkes von natürlichen Personen und Offshore- Gesellschaften durch Überweisungen auf ausländische Bankkonten gewa- schen worden seien. Als Vortat der Geldwäscherei nahm die Beschwerde- gegnerin gestützt auf die Angaben im Ersuchen richtigerweise Bestechung an. Hinweise, dass die brasilianischen Behörden das Ersuchen zwecks Verfolgung von Widerhandlungen fiskalischer Natur gestellt hätten, lassen sich dem Ersuchen nicht entnehmen. Die B. vorgeworfenen Handlungen, namentlich der in Auftrag gegebene Transfer von mutmasslich aus Beste- chungshandlungen stammenden Geldern auf Schweizer Konten können prima facie als Geldwäschereihandlungen i.S.v. Art. 305bis StGB qualifiziert werden (vgl. Urteil des Bundesgerichts 6B_416/2019 vom 4. Juli 2019 E. 4). Hierbei ist das Verhältnis der mutmasslich in der Schweiz gewaschen Vermögenswerte im Vergleich zum Gesamtbetrag der von den Brüdern G. begangenen Geldwäschereihandlungen nicht relevant.</w:t>
      </w:r>
    </w:p>
    <w:p>
      <w:r>
        <w:rPr>
          <w:b/>
        </w:rPr>
        <w:t>E. 5.1</w:t>
      </w:r>
    </w:p>
    <w:p>
      <w:r>
        <w:t>In materieller Hinsicht rügt der Beschwerdeführer im Wesentlichen eine Verletzung des Verhältnismässigkeitsprinzips (act. 1, S. 19 ff.; act. 13).</w:t>
      </w:r>
    </w:p>
    <w:p>
      <w:r>
        <w:rPr>
          <w:b/>
        </w:rPr>
        <w:t>E. 5.2</w:t>
      </w:r>
    </w:p>
    <w:p>
      <w:r>
        <w:t>Rechtshilfemassnahmen haben generell dem Prinzip der Verhältnismäs- sigkeit zu genügen (statt vieler vgl. Entscheid des Bundesstrafgerichts RR.2011.193 vom 9. Juli 2012 E. 8.2). Die internationale Zusammenarbeit</w:t>
      </w:r>
    </w:p>
    <w:p>
      <w:r>
        <w:t>- 9 -</w:t>
      </w:r>
    </w:p>
    <w:p>
      <w:r>
        <w:t>kann nur abgelehnt werden, wenn die verlangten Unterlagen mit der ver- folgten Straftat in keinem Zusammenhang stehen und offensichtlich unge- eignet sind, die Untersuchung voranzutreiben, so dass das Ersuchen nur als Vorwand für eine unzulässige Beweisausforschung («fishing expediti- 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inso- 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5.3</w:t>
      </w:r>
    </w:p>
    <w:p>
      <w:r>
        <w:t>Der Beschwerdeführer zeigt nicht konkret auf, welche in der Schlussverfü- gung bezeichneten Bankunterlagen nicht an die ersuchende Behörde her- auszugeben sind. Er beschränkt seine Ausführungen auf die Bestreitung eines Zusammenhangs zwischen dem von der Rechtshilfemassnahme be- troffenen Konto und dem brasilianischen Strafverfahren. Diese lediglich all- gemein gehaltenen Ausführungen genügen den Begründungsanforderun- gen nicht, weshalb das Vorbringen bereits aus diesem Grund abzuweisen ist.</w:t>
      </w:r>
    </w:p>
    <w:p>
      <w:r>
        <w:t>- 10 -</w:t>
      </w:r>
    </w:p>
    <w:p>
      <w:r>
        <w:rPr>
          <w:b/>
        </w:rPr>
        <w:t>E. 5.4</w:t>
      </w:r>
    </w:p>
    <w:p>
      <w:r>
        <w:t>Im Übrigen wäre das Vorbringen auch inhaltlich unbegründet. Gemäss den für den Rechtshilferichter verbindlichen Ausführungen im Ersuchen besteht der Verdacht, dass B. Bestechungsgelder erhalten hätte, die er unter Bei- zug der Brüder G., H. und I. und dem ihnen zur Verfügung stehenden Netzwerk von natürlichen Personen und Offshore-Gesellschaften gewa- schen hätte. Als eines der hierfür verwendeten Bankkonten wird im Ersu- chen explizit das hier gegenständliche Konto der E. Ltd. genannt. Es ist deshalb nicht auszuschliessen, dass B. mithilfe des auf die E. Ltd. lauten- den Bankkontos Gelder mutmasslich deliktischer Herkunft gewaschen ha- ben könnte. Zudem handelt es sich bei den von der Rechtshilfemassnahme betroffenen Unterlagen unter anderem um Kontoeröffnungsunterlagen so- wie um Dokumente zu den Kontobewegungen. Als solche sind sie geeig- net, der ausländischen Behörde zu ermöglichen, den Fluss von allfälligen Bestechungsgeldern zu ermitteln. Sofern der Beschwerdeführer die Nut- zung des hier gegenständlichen Kontos für allfällige deliktische Zwecke be- streitet, ist er darauf hinzuweisen, dass diese Frage der ausländische Sachrichter zu beurteilen haben wird. Dasselbe gilt in Bezug auf den Hin- tergrund der im Ersuchen erwähnten Transaktion von USD 150‘000.--. Die Prüfung der Tat- und Schuldfrage obliegt nicht dem Schweizer Rechtshilfe- richter (s. E. 5.2 hiervor).</w:t>
      </w:r>
    </w:p>
    <w:p>
      <w:r>
        <w:rPr>
          <w:b/>
        </w:rPr>
        <w:t>E. 5.5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 stünden, werden weder geltend gemacht noch sind solche ersichtlich.</w:t>
      </w:r>
    </w:p>
    <w:p>
      <w:r>
        <w:rPr>
          <w:b/>
        </w:rPr>
        <w:t>E. 6</w:t>
      </w:r>
    </w:p>
    <w:p>
      <w:r>
        <w:t>Nach dem Gesagten ist die Beschwerde abzuweisen, soweit darauf einzu- treten ist.</w:t>
      </w:r>
    </w:p>
    <w:p>
      <w:r>
        <w:rPr>
          <w:b/>
        </w:rPr>
        <w:t>E. 7</w:t>
      </w:r>
    </w:p>
    <w:p>
      <w:r>
        <w:t>Bei diesem Ausgang des Verfahrens sind die Gerichtskosten dem Be- schwerdeführer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