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RR.2020.44 vom 18. Mai 2020</w:t>
      </w:r>
    </w:p>
    <w:p>
      <w:r>
        <w:t>Bundesstrafgericht, 2020-05-18, IT</w:t>
      </w:r>
    </w:p>
    <w:p>
      <w:r>
        <w:rPr>
          <w:b/>
        </w:rPr>
        <w:t xml:space="preserve">Quelle: </w:t>
      </w:r>
      <w:r>
        <w:t>https://mcp.opencaselaw.ch/entscheid/bstger_RR.2020.44</w:t>
      </w:r>
    </w:p>
    <w:p>
      <w:r>
        <w:t>FR: TPF RR.2020.44 du 18 mai 2020</w:t>
      </w:r>
    </w:p>
    <w:p>
      <w:r>
        <w:t>IT: TPF RR.2020.44 del 18 maggio 2020</w:t>
      </w:r>
    </w:p>
    <w:p>
      <w:pPr>
        <w:pStyle w:val="Heading2"/>
      </w:pPr>
      <w:r>
        <w:t>Regeste</w:t>
      </w:r>
    </w:p>
    <w:p>
      <w:r>
        <w:t>Assistenza giudiziaria internazionale in materia penale alla Città del Vaticano. Sequestro di valori (art. 80e cpv. 2 lett. a AIMP). Effetto sospensivo (art. 80l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Il ricorso è stato tempestivamente interposto contro una decisione di blocco di conti bancari dell'autorità federale d'esecuzione (v. art. 80k AIMP). Le decisioni incidentali anteriori alla decisione di chiusura possono essere impugnate sepa- ratamente se causano un pregiudizio immediato e irreparabile mediante il se- questro di beni e valori oppure la presenza di persone che partecipano al pro- cesso (art. 80e cpv. 2 AIMP). Titolare della relazione n. 1 presso la banca G., oggetto della decisione impugnata, B. AG dispone della legittimazione ricor-</w:t>
      </w:r>
    </w:p>
    <w:p>
      <w:r>
        <w:t>- 5 -</w:t>
      </w:r>
    </w:p>
    <w:p>
      <w:r>
        <w:t>suale, contrariamente a A., che risulta esserne unicamente l’avente diritto eco- nomico (v. art. 80h lett. b AIMP e art. 9a OAIMP; DTF 118 Ib 547 consid. 1d; TPF 2007 79 consid. 1.6 pag. 82). Il ricorso di A. è dunque inammissibile.</w:t>
      </w:r>
    </w:p>
    <w:p>
      <w:r>
        <w:rPr>
          <w:b/>
        </w:rPr>
        <w:t>E. 2</w:t>
      </w:r>
    </w:p>
    <w:p>
      <w:r>
        <w:t>Essendo la presente procedura in lingua italiana, la società ricorrente ha chiesto l’estromissione dall’incarto della risposta del 3 marzo dell’UFG, documento re- datto in lingua tedesca in violazione dell’art. 6 cpv. 2 della legge sulle lingue nazionali e la comprensione tra le comunità linguistiche (LLing; RS 441.1).</w:t>
      </w:r>
    </w:p>
    <w:p>
      <w:r>
        <w:rPr>
          <w:b/>
        </w:rPr>
        <w:t>E. 2.1</w:t>
      </w:r>
    </w:p>
    <w:p>
      <w:r>
        <w:t>Giusta l’art. 33a cpv. 2 PA, nei procedimenti su ricorso è determinante la lingua della decisione impugnata. Se le parti utilizzano un’altra lingua ufficiale, il pro- cedimento può svolgersi in tale lingua. Di rilievo è anche la LLing (v. TPF 2015 93 consid. 5.2). L’art. 6 cpv. 2 LLing prevede che le autorità federali rispondono nella lingua ufficiale usata dal loro interlocutore. Possono convenire con quest’ultimo l’uso di un’altra lingua ufficiale.</w:t>
      </w:r>
    </w:p>
    <w:p>
      <w:r>
        <w:rPr>
          <w:b/>
        </w:rPr>
        <w:t>E. 2.2</w:t>
      </w:r>
    </w:p>
    <w:p>
      <w:r>
        <w:t>Nella fattispecie, la lingua della procedura è l’italiano, lingua della decisione im- pugnata. Non essendo stato convenuto altrimenti, l’UFG ha l’obbligo nell’ambito della presente procedura di redigere i suoi scritti in italiano. Visto quanto pre- cede, la sua risposta del 3 marzo 2020, redatta in tedesco, viola sia l’art. 33a cpv. 2 PA che l’art. 6 cpv. 2 LLing. Ciò ha come conseguenza che detto scritto non verrà preso in considerazione per la presente decisione.</w:t>
      </w:r>
    </w:p>
    <w:p>
      <w:r>
        <w:rPr>
          <w:b/>
        </w:rPr>
        <w:t>E. 3</w:t>
      </w:r>
    </w:p>
    <w:p>
      <w:r>
        <w:t>La ricorrente sostiene che l’esposto dei fatti presentato con la rogatoria, già ca- rente nella richiesta di blocco del 22 novembre 2019 (v. supra Fatti lett. A), sia talmente vago da non permettere di delineare i reati contestatigli. Ciò avrebbe come conseguenza l’impossibilità di verificare il rispetto del principio della dop- pia punibilità, condizione per l’adozione di misure coercitive. Il MPC sarebbe andato persino oltre le richieste rogatoriali, sequestrando anche conti intestati non solo a A. ma anche a società a lui riconducibili. Inoltre, il sequestro di tutti i suoi conti violerebbe il principio della proporzionalità. Il Promotore di Giustizia non avrebbe del resto presentato alcun provvedimento giudiziario di sequestro adottato all’estero; potendo solo un giudice, secondo il diritto estero, disporre un tale provvedimento, vi sarebbe anche un problema di competenza.</w:t>
      </w:r>
    </w:p>
    <w:p>
      <w:r>
        <w:t>- 6 -</w:t>
      </w:r>
    </w:p>
    <w:p>
      <w:r>
        <w:rPr>
          <w:b/>
        </w:rPr>
        <w:t>E. 3.1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3.2</w:t>
      </w:r>
    </w:p>
    <w:p>
      <w:r>
        <w:t>In concreto, occorre rilevare che la ricorrente, che si è soprattutto espressa sul procedimento estero e sull’assenza di reati imputabili a A., e quindi questioni il cui esame è di massima prematuro a questo stadio della procedura, non ha prodotto alcuna documentazione che permetta di chiarire la sua situazione eco- nomica, omettendo in particolare di indicare sia i suoi redditi che il suo patrimo- nio, per cui a queste condizioni risulta impossibile per questa Corte valutare l’effettiva esistenza di pregiudizi immediati ed irreparabili in capo alla ricorrente. In altre parole, la ricorrente non ha dimostrato di non disporre di altri mezzi per far fronte ai suoi impegni finanziari. Di fronte ad un quadro finanziario così lacu- noso e poco trasparente non basta affermare che “un blocco di relazioni ban- carie, per di più della durata assolutamente imprevedibile, sicché non è dato di sapere quando la decisione di chiusura interverrà, è suscettibile di provocare un grave danno va da sé” (v. act. 1, pag. 12). Si tratta di allegazioni chiaramente insufficienti a fare chiarezza sull’esistenza di un effettivo pregiudizio ai sensi della giurisprudenza sopraccitata.</w:t>
      </w:r>
    </w:p>
    <w:p>
      <w:r>
        <w:rPr>
          <w:b/>
        </w:rPr>
        <w:t>E. 3.3</w:t>
      </w:r>
    </w:p>
    <w:p>
      <w:r>
        <w:t>In data 30 aprile 2020, la ricorrente ha presentato una richiesta di misure prov- visionali tesa ad ottenere, in via principale, la revoca del sequestro impugnato e, a titolo subordinato, lo sblocco parziale del conto per effettuare dei paga- menti. Ora, nella misura in cui essa non ha prodotto nemmeno in tale occasione documenti che possano chiarire la sua situazione economica, tale scritto, tra- smesso alla Corte susseguentemente alla conclusione dello scambio degli al- legati e non decisivo (v. art. 32 cpv. 2 PA), visto il preciso recinto processuale di cui supra al consid. 3.1, è da considerarsi tardivo. Lo stesso vale per il con- tenuto del fax del 16 maggio 2020, da cui non traspare in alcun modo la volontà del ricorrente di allegare censure documentate in maniera conforme alla pre- detta giurisprudenza.</w:t>
      </w:r>
    </w:p>
    <w:p>
      <w:r>
        <w:t>- 7 -</w:t>
      </w:r>
    </w:p>
    <w:p>
      <w:r>
        <w:rPr>
          <w:b/>
        </w:rPr>
        <w:t>E. 3.4</w:t>
      </w:r>
    </w:p>
    <w:p>
      <w:r>
        <w:t>Da quanto sopra discende che il ricorso è inammissibile già per la mancanza di un pregiudizio immediato e irreparabile giusta l’art. 80e cpv. 2 lett. a AIMP, il che rende superfluo l'esame delle restanti censure.</w:t>
      </w:r>
    </w:p>
    <w:p>
      <w:r>
        <w:rPr>
          <w:b/>
        </w:rPr>
        <w:t>E. 4</w:t>
      </w:r>
    </w:p>
    <w:p>
      <w:r>
        <w:t>Visto quanto precede, la richiesta di concessione dell’effetto sospensivo è dive- nuta priva d’oggetto.</w:t>
      </w:r>
    </w:p>
    <w:p>
      <w:r>
        <w:rPr>
          <w:b/>
        </w:rPr>
        <w:t>E. 5</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3'000.–.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