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RR.2020.40 vom 26. Juni 2020</w:t>
      </w:r>
    </w:p>
    <w:p>
      <w:r>
        <w:t>Bundesstrafgericht, 2020-06-26, DE</w:t>
      </w:r>
    </w:p>
    <w:p>
      <w:r>
        <w:rPr>
          <w:b/>
        </w:rPr>
        <w:t xml:space="preserve">Quelle: </w:t>
      </w:r>
      <w:r>
        <w:t>https://mcp.opencaselaw.ch/entscheid/bstger_RR.2020.40</w:t>
      </w:r>
    </w:p>
    <w:p>
      <w:r>
        <w:t>FR: TPF RR.2020.40 du 26 juin 2020</w:t>
      </w:r>
    </w:p>
    <w:p>
      <w:r>
        <w:t>IT: TPF RR.2020.40 del 26 giugno 2020</w:t>
      </w:r>
    </w:p>
    <w:p>
      <w:pPr>
        <w:pStyle w:val="Heading2"/>
      </w:pPr>
      <w:r>
        <w:t>Regeste</w:t>
      </w:r>
    </w:p>
    <w:p>
      <w:r>
        <w:t>Internationale Rechtshilfe in Strafsachen an Slowenien. Herausgabe von Beweismitteln (Art. 74 IRSG).</w:t>
      </w:r>
    </w:p>
    <w:p>
      <w:pPr>
        <w:pStyle w:val="Heading2"/>
      </w:pPr>
      <w:r>
        <w:t>Erwägungen</w:t>
      </w:r>
    </w:p>
    <w:p>
      <w:r>
        <w:rPr>
          <w:b/>
        </w:rPr>
        <w:t>E. 1.1</w:t>
      </w:r>
    </w:p>
    <w:p>
      <w:r>
        <w:t>Für die Rechtshilfe zwischen Slowenien und der Schweiz ist in erster Linie das Europäische Übereinkommen vom 20. April 1959 über die Rechtshilfe in Strafsachen (EUeR; SR 0.351.1) sowie das hierzu ergangene zweite Zu- satzprotokoll vom 8. November 2001 (ZPII EUeR; SR 0.351.12) massge- bend. Überdies gelangen die Bestimmungen der Art. 48 ff. des Übereinkom- mens vom 19. Juni 1990 zur Durchführung des Übereinkommens von Schengen vom 14. Juni 1985 (Schengener Durchführungsübereinkommen,</w:t>
      </w:r>
    </w:p>
    <w:p>
      <w:r>
        <w:t>- 4 -</w:t>
      </w:r>
    </w:p>
    <w:p>
      <w:r>
        <w:t>SDÜ; ABl. L 239 vom 22. September 2000, S. 19-62) zur Anwendung, wobei die zwischen den Vertragsparteien geltenden weitergehenden Bestimmun- gen aufgrund bilateraler Abkommen unberührt bleiben (Art. 48 Abs. 2 SDÜ).</w:t>
      </w:r>
    </w:p>
    <w:p>
      <w:r>
        <w:t>Soweit die staatsvertragliche Bestimmungen gewisse Fragen weder aus- drücklich noch stillschweigend regeln, bzw. das schweizerische Landesrecht geringere Anforderungen an die Rechtshilfe stellt (sog. Günstigkeitsprinzip; BGE 142 IV 250 E. 3; 140 IV 123 E. 2; 136 IV 82 E. 3.1; 135 IV 212 E. 2.3; ZIMMERMANN, La coopération judiciaire internationale en matière pénale,</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t>2.</w:t>
      </w:r>
    </w:p>
    <w:p>
      <w:r>
        <w:t>2.1 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richtet sich gegen eine Schlussverfügung der ausführenden Bundesbehörde und wurde form- und fristgerecht erhoben.</w:t>
      </w:r>
    </w:p>
    <w:p>
      <w:r>
        <w:t>2.2</w:t>
      </w:r>
    </w:p>
    <w:p>
      <w:r>
        <w:t>2.2.1 Zur Beschwerdeführung ist berechtigt, wer persönlich und direkt von einer Rechtshilfemassnahme betroffen ist und ein schutzwürdiges Interesse an deren Aufhebung oder Änderung hat (Art. 80h lit. b IRSG). Als persönlich</w:t>
      </w:r>
    </w:p>
    <w:p>
      <w:r>
        <w:t>- 5 -</w:t>
      </w:r>
    </w:p>
    <w:p>
      <w:r>
        <w:t>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 und bei der Hausdurchsu- chung der Eigentümer oder der Mieter (Art. 9a lit. b IRSV). Als persönlich und direkt betroffen gilt nur, wer sich in der Schweiz selber einer bestimmten Rechtshilfemassnahme zu unterwerfen hat (BGE 116 Ib 106 E. 2a). Für bloss indirekt Betroffene, insbesondere Personen, die zwar in den erhobe- nen Unterlagen erwähnt werden, aber nicht direkt von Zwangsmassnahmen betroffen bzw. Inhaber von sichergestellten Dokumenten sind, ist die Be- schwerdebefugnis grundsätzlich zu verneinen (BGE 137 IV 134 E. 5.2.2; 129 II 268 E. 2.3.3 S. 269; 123 II 153 E. 2b S. 157, 161 E. 1d S. 164, je mit Hinweisen; 122 II 130 E. 2b S. 132 f.). 2.2.2 Von der Herausgabe an die ersuchende Behörde sind Unterlagen des Kon- tos 1 bei der Bank E. betroffen (act. 1.2). Dieses Konto lautet auf die F. AG (Verfahrensakten RH.18.0137, pag. 07.001-0007 ff.; B.07.101.001.01.E- 0001 ff.), mithin ist sie als Inhaberin des von der Rechtshilfemassnahme be- troffenen Kontos beschwerdebefugt. Der Beschwerdeführer stellt die Inha- berschaft des Kontos nicht in Abrede. Vielmehr bringt der Beschwerdeführer diesbezüglich vor, er werde in der angefochtenen Verfügung beschuldigt, durch seinen Arbeitgeber, die G. über die F. AG (recte: […] AG) eine wider- rechtliche Provision bezahlt und damit Privatbestechung begangen zu ha- ben. Mit der Herausgabe der auf die F. AG lautenden Unterlagen werde über die Edition von Untersuchungsergebnissen entschieden, die geeignet sein könnten, sein Verhalten im Zusammenhang mit den vom ersuchenden Staat formulierten Vorwurf einer rechtswidrigen Geldleistung an B. offenzulegen. Gäbe es solche Zahlungen, werde dadurch der geltend gemachte Tatver- dacht bestätigt, wodurch er unmittelbar und persönlich betroffen wäre (act. 13, S. 2). Im Sinne der oben zitierten Rechtsprechung steht dem Beschwerdeführer nicht das Recht zu, sich gegen die Herausgabe von Unterlagen eines ihm nicht gehörenden Bankkontos zu wehren. Die mögliche Bestätigung der dem Beschwerdeführer in Slowenien gemachten Tatvorwürfe durch die Heraus- gabe der Unterlagen des auf die F. AG lautenden Bankkontos vermag seine Beschwerdelegitimation nicht zu begründen. Demgemäss ist der Beschwer- deführer nicht berechtigt, die Herausgabe der in der Schlussverfügung be- zeichneten Bankunterlagen anzufechten.</w:t>
      </w:r>
    </w:p>
    <w:p>
      <w:r>
        <w:t>- 6 -</w:t>
      </w:r>
    </w:p>
    <w:p>
      <w:r>
        <w:t>2.2.3 Des Weiteren sind von der Herausgabe an die ersuchende Behörde die E-Mail Korrespondenz und Unterlagen betroffen, die sich auf die Vereinba- rung zwischen B. und den Vertretern der D. beziehen (act. 1.2). Auch dies- bezüglich ist dem Beschwerdeführer die Beschwerdebefugnis abzuspre- chen. Den Angaben der Beschwerdegegnerin zufolge stammen diese Unter- lagen aus einer in Deutschland rechtshilfeweise erfolgten Durchsuchung der Räumlichkeiten von B. (act. 11, S. 6). In der Folge ersuchte die Beschwer- degegnerin die Staatsanwaltschaft München am 27. September 2019 um Er- teilung der Zustimmung, die im Schreiben erwähnten Datenträger rechtshil- feweise an die slowenischen Behörden übermitteln zu dürfen (Verfahrensak- ten RH.18.0137, pag. 10.100-0001 f.). Am 24. Oktober 2019 ging bei der Be- schwerdegegnerin das Schreiben der Staatsanwaltschaft München ein, mit welchem sie ihre Zustimmung zur Weitergabe der Erkenntnisse erteilte (Ver- fahrensakten RH.18.0137, pag. 10.100-0007). Gestützt auf diese Korres- pondenz ist davon auszugehen, dass die von der Herausgabe betroffenen Unterlagen aus der in Deutschland erfolgten Hausdurchsuchung stammen. Überdies fand die Hausdurchsuchung in den Räumlichkeiten von B. und nicht des Beschwerdeführers statt. Aus dem Gesagten folgt, dass sich der Beschwerdeführer in der Schweiz keiner Hausdurchsuchung unterziehen musste. Aus dem Umstand, dass der Beschwerdeführer in den herauszuge- benden Unterlagen allenfalls erwähnt werde, vermag der Beschwerdeführer im Sinne der oben zitierten Rechtsprechung keine Beschwerdebefugnis ab- zuleiten. Entgegen der Ansicht des Beschwerdeführers vermag an dieser Schlussfolgerung auch sein Vorbringen nichts zu ändern, dass diese Unter- lagen den ihm gegenüber gemachten Tatverdacht allenfalls bestätigen könn- ten (act. 13, S. 3). 2.3 Nach dem Gesagten ist auf die Beschwerde nicht einzutreten.</w:t>
      </w:r>
    </w:p>
    <w:p>
      <w:r>
        <w:t>3. Bei diesem Ausgang des Verfahrens sind die Gerichtskosten dem Be- schwerdeführer aufzuerlegen (Art. 63 Abs. 1 VwVG). Die Gerichtsgebühr ist auf Fr. 2'000.-- festzusetzen (vgl. Art. 63 Abs. 5 VwVG i.V.m. Art. 73 StBOG sowie Art. 5 und 8 Abs. 3 lit. a des Reglements des Bundesstrafgerichts vom 31. August 2010 über die Kosten, Gebühren und Entschädigungen in Bun- desstrafverfahren [BStKR; SR 173.713.162]), unter Anrechnung des ent- sprechenden Betrages am geleisteten Kostenvorschuss von Fr. 5‘000.--. Die Bundesstrafgerichtskasse wird angewiesen, dem Beschwerdeführer Fr. 3‘000.-- zurückzuerstatten.</w:t>
      </w:r>
    </w:p>
    <w:p>
      <w:r>
        <w:t>- 7 -</w:t>
      </w:r>
    </w:p>
    <w:p>
      <w:r>
        <w:rPr>
          <w:b/>
        </w:rPr>
        <w:t>E. 5</w:t>
      </w:r>
    </w:p>
    <w:p>
      <w:r>
        <w:t>Aufl. 2019, N. 229), sind das Bundesgesetz vom 20. März 1981 über in- ternationale Rechtshilfe in Strafsachen (IRSG; SR 351.1) und die dazugehö- 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