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RR.2020.36 vom 16. April 2020</w:t>
      </w:r>
    </w:p>
    <w:p>
      <w:r>
        <w:t>Bundesstrafgericht, 2020-04-16, IT</w:t>
      </w:r>
    </w:p>
    <w:p>
      <w:r>
        <w:rPr>
          <w:b/>
        </w:rPr>
        <w:t xml:space="preserve">Quelle: </w:t>
      </w:r>
      <w:r>
        <w:t>https://mcp.opencaselaw.ch/entscheid/bstger_RR.2020.36</w:t>
      </w:r>
    </w:p>
    <w:p>
      <w:r>
        <w:t>FR: TPF RR.2020.36 du 16 avril 2020</w:t>
      </w:r>
    </w:p>
    <w:p>
      <w:r>
        <w:t>IT: TPF RR.2020.36 del 16 aprile 2020</w:t>
      </w:r>
    </w:p>
    <w:p>
      <w:pPr>
        <w:pStyle w:val="Heading2"/>
      </w:pPr>
      <w:r>
        <w:t>Regeste</w:t>
      </w:r>
    </w:p>
    <w:p>
      <w:r>
        <w:t>Assistenza giudiziaria internazionale in materia penale a Israele.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Israele e la Confedera- zione Svizzera sono anzitutto retti dalla Convenzione europea di assistenza giudiziaria in materia penale del 20 aprile 1959, entrata in vigore il 26 dicembre 1967 per Israele ed il 20 marzo 1967 per la Svizzera (CEAG; RS 0.351.1) e dal Secondo Protocollo addizionale alla CEAG dell'8 novembre 2011, entrato in vi- gore il 1° luglio 2006 per Israele e il 1° febbraio 2005 per la Confederazione Svizzera (RS 0.351.12). Alle questioni che il prevalente diritto internazionale non regola espressamente o implicitamente, come pure quando il diritto nazio- nale sia più favorevole all'assistenza rispetto a quello pattizio (cosiddetto prin- cipio di favore), si applicano la legge federale sull'assistenza internazionale in materia penale del 20 marzo 1981 (AIMP; RS 351.1), unitamente alla relativa ordinanza (OAIMP; RS 351.11; v. art. 1 cpv. 1 AIMP; DTF 142 IV 250 consid. 3; 140 IV 123 consid. 2; 137 IV 33 consid. 2.2.2; 136 IV 82 consid. 3.1). È fatto</w:t>
      </w:r>
    </w:p>
    <w:p>
      <w:r>
        <w:t>- 4 -</w:t>
      </w:r>
    </w:p>
    <w:p>
      <w:r>
        <w:t>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è ricevibile sotto il profilo degli art. 25 cpv. 1, 80e cpv. 1 e 80k AIMP. Il ricorrente è titolare delle relazioni bancarie oggetto della decisione impugnata ed è di conseguenza legittimato a ricorrere (v. art. 80h lett. b AIMP e art. 9a lett. a OAIMP nonché DTF 137 IV 134 consid. 5.2.1; 130 II 162 consid. 1.1; 128 II 211 consid. 2.3; TPF 2007 79 consid. 1.6 pag. 82).</w:t>
      </w:r>
    </w:p>
    <w:p>
      <w:r>
        <w:rPr>
          <w:b/>
        </w:rPr>
        <w:t>E. 2</w:t>
      </w:r>
    </w:p>
    <w:p>
      <w:r>
        <w:t>Il ricorrente sostiene che i documenti litigiosi, perlomeno quelli antecedenti il 2004, non possono essere trasmessi all’autorità rogante, nella misura in cui i fatti contestatigli all’estero sarebbero parzialmente prescritti secondo il diritto svizzero.</w:t>
      </w:r>
    </w:p>
    <w:p>
      <w:r>
        <w:rPr>
          <w:b/>
        </w:rPr>
        <w:t>E. 2.1</w:t>
      </w:r>
    </w:p>
    <w:p>
      <w:r>
        <w:t>Allorquando la Svizzera e lo Stato richiedente hanno concluso un trattato di collaborazione giudiziaria che non prevede l’esame della questione della pre- scrizione secondo il diritto svizzero, questa regolamentazione, più favorevole all’assistenza, prevale sull’AIMP (DTF 136 IV 4 consid. 6.3; 118 Ib 266; 117 Ib 61).</w:t>
      </w:r>
    </w:p>
    <w:p>
      <w:r>
        <w:rPr>
          <w:b/>
        </w:rPr>
        <w:t>E. 2.2</w:t>
      </w:r>
    </w:p>
    <w:p>
      <w:r>
        <w:t>Nel caso concreto, Svizzera e Israele sono parti alla CEAG, convenzione che non menziona la prescrizione tra i motivi di esclusione della cooperazione (v. ZIMMERMANN, La coopération judiciaire internationale en matière pénale, 5° ediz. 2019, n. 670). Ne deriva che, a ragione, le autorità elvetiche non hanno condizionato la concessione dell’assistenza all’esame dell’intervenuta prescri- zione del reato secondo il diritto svizzero. La censura va pertanto respinta.</w:t>
      </w:r>
    </w:p>
    <w:p>
      <w:r>
        <w:rPr>
          <w:b/>
        </w:rPr>
        <w:t>E. 3</w:t>
      </w:r>
    </w:p>
    <w:p>
      <w:r>
        <w:t>L’insorgente afferma che la trasmissione contestata violerebbe il principio della doppia punibilità, perlomeno per quanto riguarda il reato di corruzione attiva di privati, visto che l’art. 322octies CP sarebbe entrato in vigore solo nel 2016 e che dal 2004 al 2016 era solo applicabile l’art. 4a della legge contro la concorrenza sleale (LCSl; RS 241).</w:t>
      </w:r>
    </w:p>
    <w:p>
      <w:r>
        <w:t>- 5 -</w:t>
      </w:r>
    </w:p>
    <w:p>
      <w:r>
        <w:rPr>
          <w:b/>
        </w:rPr>
        <w:t>E. 3.1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Nel diritto interno, tale principio è espresso all'art. 64 cpv. 1 AIMP. Il giudice dell'assistenza e prima di esso le autorità d'esecuzione non devono procedere a un esame dei reati e delle norme penali menzionati nella domanda di assistenza e verificare la loro corrispondenza con le norme del diritto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 slazioni toccate, dalla medesima qualificazione giuridica (DTF 124 II 184 consid. 4b/cc pag. 188). Diversamente dall'ambito estradizionale, le misure di coopera- zione sono già ammesse se la condizione della doppia punibilità è ossequiata alla luce di una singola fattispecie (sentenza del Tribunale federale 1C_138/2007 del 17 luglio 2007 consid. 2.3 e rinvii). 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domanda di assistenza (v. sentenza del Tribunale federale 1A.205/2006 del 7 dicembre 2006 consid. 3.2 e sentenza del Tribunale penale federale RR.2007.36 del 7 maggio 2007 consid. 1 con rinvii).</w:t>
      </w:r>
    </w:p>
    <w:p>
      <w:r>
        <w:rPr>
          <w:b/>
        </w:rPr>
        <w:t>E. 3.2</w:t>
      </w:r>
    </w:p>
    <w:p>
      <w:r>
        <w:t>In concreto, i fatti contestati al ricorrente (v. supra Fatti lett. A e infra consid. 4.2) possono perlomeno essere sussunti ai reati di corruzione passiva (art. 322quater CP) e riciclaggio di denaro (art. 305bis CP), per cui la condizione della doppia punibilità è ossequiata già solo per tale motivo. Il riferimento all’art. 322octies CP risulta inconferente. La società di cui il ricorrente era direttore era infatti una società di trasporto pubblico per cui la relativa ricezione di tangenti, trasposta nel diritto svizzero, costituirebbe corruzione di pubblico funzionario e non di un privato (v. DTF 141 IV 329 consid. 1.3 e riferimenti). Anche tale censura va quindi disattesa.</w:t>
      </w:r>
    </w:p>
    <w:p>
      <w:r>
        <w:rPr>
          <w:b/>
        </w:rPr>
        <w:t>E. 4</w:t>
      </w:r>
    </w:p>
    <w:p>
      <w:r>
        <w:t>Il ricorrente sostiene che la decisione impugnata violi il principio della propor- zionalità e che la trasmissione di tutta la documentazione bancaria, senza un filtro, costituisca una fishing expedition. Egli chiede l’oscuramento dei nomi di terze persone non coinvolte nelle indagini estere.</w:t>
      </w:r>
    </w:p>
    <w:p>
      <w:r>
        <w:t>- 6 -</w:t>
      </w:r>
    </w:p>
    <w:p>
      <w:r>
        <w:rPr>
          <w:b/>
        </w:rPr>
        <w:t>E. 4.1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sentenza del Tribunale penale federale RR.2016.250 del 17 febbraio 2017 consid. 2.1). La trasmissione dell'in- tera documentazione potrà evitare altresì che le autorità debbano inoltrare eventuali domande complementari (DTF 136 IV 82 consid. 4.1; 121 II 241 con- sid. 3; sentenza del Tribunale federale 1C_486/2008 dell'11 novembre 2008 consid. 2.4; sentenza del Tribunale penale federale RR.2011.113 del 28 luglio 2011 consid. 4.2), con evidente intralcio alle esigenze di celerità (v. anche art. 17a cpv. 1 AIMP). In base alla giurisprudenza l'esame da parte delle autorità di esecuzione e del giudice dell’assistenza va limitato alla cosiddetta utilità poten- ziale, secondo cui la consegna giusta l'art. 74 AIMP è esclusa soltanto per quei mezzi di prova certamente privi di rilevanza per il procedimento penale all'estero (DTF 126 II 258 consid. 9c; 122 II 367 consid. 2c; 121 II 241 consid. 3a e b; TPF 2010 73 consid. 7.1). Vietata in particolare è la cosiddetta fishing expedition, la quale è definita dalla giurisprudenza una ricerca generale ed indeterminata di mezzi di prova volta a fondare un sospetto senza che esistano pregressi ele- menti concreti a sostegno dello stesso (DTF 125 II 65 consid. 6b/aa pag. 73 e rinvii). Questo modo di procedere non è consentito in ambito di assistenza in- ternazionale sia alla luce del principio della specialità che di quello della propor- zionalità. Tale divieto si fonda semplicemente sul fatto che è inammissibile pro- cedere a casaccio nella raccolta delle prove (DTF 113 Ib 257 consid. 5c).</w:t>
      </w:r>
    </w:p>
    <w:p>
      <w:r>
        <w:t>- 7 -</w:t>
      </w:r>
    </w:p>
    <w:p>
      <w:r>
        <w:t>Il principio della proporzionalità impedisce all’autorità rogata di agire ultra petita, ovvero di andare oltre i provvedimenti postulati dall'autorità richiedente, conce- 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tutti i requisiti per conce- dere l'assistenza siano comunque adempiuti (DTF 121 II 241 consid. 3; sen- 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 combe alla persona toccata dalla misura dimostrare in maniera chiara e precisa perché i documenti e le informazioni in questione vanno oltre il senso che si può ragionevolmente attribuire alla domanda rogatoriale, rispettivamente non pre- sentano nessun interesse per la procedura estera.</w:t>
      </w:r>
    </w:p>
    <w:p>
      <w:r>
        <w:rPr>
          <w:b/>
        </w:rPr>
        <w:t>E. 4.2</w:t>
      </w:r>
    </w:p>
    <w:p>
      <w:r>
        <w:t>In concreto, come già rilevato in precedenza (v. Fatti lett. A), il ricorrente è ac- cusato di aver intascato tangenti al fine di favorire C. GmbH nella fornitura di telai a B. Ltd, impresa di trasporti pubblica, denaro oggetto poi di svariate ope- razioni tese a celarne la provenienza criminale. Dinanzi a questo tipo di reati, l'identificazione e l'analisi di tutti i conti bancari riconducibili all'imputato risulta molto importante e la relativa documentazione ha un'utilità potenziale indubbia. L'autorità rogante deve infatti avere la possibilità di analizzare tutti i flussi di denaro ad essi legati. Per tacere comunque del fatto che il MPC ha già potuto identificare transazioni sospette intervenute sulle relazioni oggetto della deci- sione impugnata concernenti somme di denaro la cui entità mal si concilierebbe con la situazione del ricorrente in quanto ex dipendente statale, ora pensionato (v. act. 1.2 pag. 6). In particolare, la relazione bancaria n. 1 è stata oggetto in data 22 marzo 2004 di un versamento in contanti di EUR 74’775.– (v. atti 001376_03490 incarto MPC) e in data 10 giugno 2004 di un secondo versa- mento di EUR 14'925.– (v. atti 001376_03591 incarto MPC). La relazione ban- caria n. 3 è stata oggetto in data 10 marzo 2008 di un addebito di EUR 1'000'000.– a favore della relazione n. 4 presso la banca E. e intestata allo stesso A. (v. atto 001376_01816 incarto MPC), la quale a sua volta, lo stesso giorno, è stata oggetto di un addebito di EUR 1'000'000.–. La relazione bancaria n. 2 è stata alimentata in data 25 giugno 2009 con un importo complessivo in contanti di USD 1'300'000.– e di EUR 700'000.– (v. atti 001376_00305 e 001376_00352 incarto MPC). Trattandosi di un’inchiesta anche per riciclaggio è ovvio che l’autorità estera debba acclarare anche le ragioni di tali operazioni. Non potendo del resto escludere che anche altre persone fisiche e/o giuridiche</w:t>
      </w:r>
    </w:p>
    <w:p>
      <w:r>
        <w:t>- 8 -</w:t>
      </w:r>
    </w:p>
    <w:p>
      <w:r>
        <w:t>ancora sconosciute agli inquirenti potrebbero risultare coinvolte nella vicenda, le richieste di anonimizzazione dei documenti devono essere disattese.</w:t>
      </w:r>
    </w:p>
    <w:p>
      <w:r>
        <w:t>Spetterà comunque al giudice estero del merito valutare se dalla documenta- zione richiesta emerge in concreto una connessione penalmente rilevante fra i fatti oggetto della procedura penale israeliana e detta documentazione. Alla luce della domanda rogatoriale risulta che tutta la documentazione litigiosa è potenzialmente utile per l’inchiesta, motivo per cui la sua trasmissione rispetta il principio della proporzionalità e non costituisce un caso di fishing expedition.</w:t>
      </w:r>
    </w:p>
    <w:p>
      <w:r>
        <w:rPr>
          <w:b/>
        </w:rPr>
        <w:t>E. 5</w:t>
      </w:r>
    </w:p>
    <w:p>
      <w:r>
        <w:t>In definitiva, la decisione impugnata va confermata e il gravame integralmente respinto.</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2’000.–;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