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RR.2020.315 vom 25. März 2022</w:t>
      </w:r>
    </w:p>
    <w:p>
      <w:r>
        <w:t>Bundesstrafgericht, 2022-03-25, DE</w:t>
      </w:r>
    </w:p>
    <w:p>
      <w:r>
        <w:rPr>
          <w:b/>
        </w:rPr>
        <w:t xml:space="preserve">Quelle: </w:t>
      </w:r>
      <w:r>
        <w:t>https://mcp.opencaselaw.ch/entscheid/bstger_RR.2020.315</w:t>
      </w:r>
    </w:p>
    <w:p>
      <w:r>
        <w:t>FR: TPF RR.2020.315 du 25 mars 2022</w:t>
      </w:r>
    </w:p>
    <w:p>
      <w:r>
        <w:t>IT: TPF RR.2020.315 del 25 marzo 2022</w:t>
      </w:r>
    </w:p>
    <w:p>
      <w:pPr>
        <w:pStyle w:val="Heading2"/>
      </w:pPr>
      <w:r>
        <w:t>Regeste</w:t>
      </w:r>
    </w:p>
    <w:p>
      <w:r>
        <w:t>Auslieferung an Kroatien; Kosten (Art. 62 IRSG)</w:t>
      </w:r>
    </w:p>
    <w:p>
      <w:pPr>
        <w:pStyle w:val="Heading2"/>
      </w:pPr>
      <w:r>
        <w:t>Erwägungen</w:t>
      </w:r>
    </w:p>
    <w:p>
      <w:r>
        <w:rPr>
          <w:b/>
        </w:rPr>
        <w:t>E. 1</w:t>
      </w:r>
    </w:p>
    <w:p>
      <w:r>
        <w:t>Auf Beschwerdeverfahren in internationalen Rechtshilfeangelegenheiten sind die Bestimmungen des VwVG anwendbar (Art. 39 Abs. 2 lit. b i.V.m. Art. 37 Abs. 2 lit. a Ziff. 1 StBOG), wenn das IRSG nichts anderes bestimmt (Art. 12 Abs. 1 IRSG).</w:t>
      </w:r>
    </w:p>
    <w:p>
      <w:r>
        <w:rPr>
          <w:b/>
        </w:rPr>
        <w:t>E. 2</w:t>
      </w:r>
    </w:p>
    <w:p>
      <w:r>
        <w:t>Die angefochtene Verfügung unterliegt der Beschwerde an die Beschwerde- kammer des Bundesstrafgerichts (Art. 25 Abs. 1 IRSG; Entscheide des Bun- desstrafgerichts RR.2017.47 vom 1. Juni 2017 E. 1.1; RR.2010.190 vom</w:t>
      </w:r>
    </w:p>
    <w:p>
      <w:r>
        <w:rPr>
          <w:b/>
        </w:rPr>
        <w:t>E. 5</w:t>
      </w:r>
    </w:p>
    <w:p>
      <w:r>
        <w:t>November 2010 E. 1; vgl. Urteil des Bundesgerichts 1A.106/2001 vom 21. August 2001 E. 1). Die Beschwerde wurde innert der 30-tägigen Be- schwerdefrist erhoben (Art. 50 Abs. 1 VwVG). Der Beschwerdeführer ist durch die angefochtene Verfügung besonders berührt und hat ein schutz- würdiges Interesse an deren Aufhebung oder Änderung (Art. 48 VwVG). Auf die Beschwerde ist einzutreten.</w:t>
      </w:r>
    </w:p>
    <w:p>
      <w:r>
        <w:t>- 4 -</w:t>
      </w:r>
    </w:p>
    <w:p>
      <w:r>
        <w:t>3. Die angefochtene Verfügung erging in Anwendung des Art. 62 Abs. 2 IRSG. Gemäss Art. 62 IRSG übernimmt bei der Auslieferung an das Ausland der Bund die Haft- und Transportkosten, soweit sie im internationalen Verkehr üblicherweise vom ersuchten Staat getragen werden (Abs. 1). Persönliches Eigentum des Verfolgten kann zur Deckung der Kosten verwendet werden, soweit es nicht auszuliefern ist (Abs. 2).</w:t>
      </w:r>
    </w:p>
    <w:p>
      <w:r>
        <w:t>4.</w:t>
      </w:r>
    </w:p>
    <w:p>
      <w:r>
        <w:t>4.1 Der Beschwerdeführer rügt eine Verletzung des Willkürverbots nach Art. 9 BV. Über die Verwendung persönlichen Eigentums des Verfolgten zur De- ckung der Kosten müsse im Auslieferungsentscheid entschieden werden. Es bestehe kein rechtlicher Rahmen für einen nachträglichen Entscheid. Der Beschwerdeführer habe nach allgemeinen rechtlichen Grundsätzen davon ausgehen dürfen, dass spätestens mit Eintritt der Rechtskraft des Ausliefe- rungsentscheids die Angelegenheit erledigt sei. Es gelinge dem Beschwer- degegner nicht, eine stringente Argumentation für den nachträglichen Ent- scheid zu liefern (act. 1 S. 3 ff.).</w:t>
      </w:r>
    </w:p>
    <w:p>
      <w:r>
        <w:t>4.2 Gemäss Art. 9 BV hat jede Person Anspruch darauf, von den staatlichen Organen ohne Willkür und nach Treu und Glauben behandelt zu werden. Willkürlich ist ein Entscheid nicht bereits dann, wenn eine andere Lösung ebenfalls vertretbar erscheint oder gar vorzuziehen wäre. Vielmehr liegt Will- kür erst vor, wenn der betreffende Entscheid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 gebnis unhaltbar ist (BGE 147 V 194 E. 6.3.1 mit Hinweis).</w:t>
      </w:r>
    </w:p>
    <w:p>
      <w:r>
        <w:t>4.3 Davon kann hier keine Rede sein. In der Kautionsvereinbarung wurde fest- gehalten, dass der Beschwerdegegner sich das Recht vorbehält, die Kaution (bzw. einen Teil davon) zur Deckung der Kosten des Auslieferungsverfah- rens im Sinne von Art. 62 Abs. 2 IRSG zu verwenden (Ziff. 1 der Kautions- vereinbarung). Das IRSG legt nicht fest, zu welchem Zeitpunkt über die Ver- wendung persönlichen Eigentums des Verfolgten zur Deckung der Kosten zu entscheiden ist. Haft- und Transportkosten entstehen regelmässig auch noch nach Erlass des Auslieferungsentscheids. Es ist daher auch zulässig, über die Verwendung persönlichen Eigentums des Verfolgten nach Erlass des Auslieferungsentscheids zu verfügen. Der Auslieferungsentscheid</w:t>
      </w:r>
    </w:p>
    <w:p>
      <w:r>
        <w:t>- 5 -</w:t>
      </w:r>
    </w:p>
    <w:p>
      <w:r>
        <w:t>erging am 13. Mai 2019. Der Beschwerdeführer befand sich vom 3. April 2018 bis zum 25. Mai 2018 und vom 1. November 2019 bis zum 8. Januar 2020 in Auslieferungshaft. Aus den vorliegenden Akten geht hervor, dass dem Beschwerdegegner vom Regionalgefängnis Bern Kosten für die Auslie- ferungshaft des Beschwerdeführers in Rechnung gestellt wurden: am 3. Mai 2018 für 28 Tage im April 2018 (act. 4.18A), am 4. Juni 2018 für 25 Tage im Mai 2018 (act. 4.18B), am 4. Dezember 2019 für 30 Tage im November 2019 (act. 4.18C), am 6. Januar 2020 für 31 Tage im Dezember 2019 (act. 4.18D) und am 5. Februar 2020 für 7 Tage im Januar 2020 (act. 4.18E). Angesichts dessen ist nicht zu beanstanden, dass der Beschwerdegegner erst nach Er- lass des Auslieferungsentscheids über die Verwendung der Kaution ver- fügte.</w:t>
      </w:r>
    </w:p>
    <w:p>
      <w:r>
        <w:t>4.4 Die Beschwerde erweist sich in diesem Punkt als unbegründet.</w:t>
      </w:r>
    </w:p>
    <w:p>
      <w:r>
        <w:rPr>
          <w:b/>
        </w:rPr>
        <w:t>E. 5.1</w:t>
      </w:r>
    </w:p>
    <w:p>
      <w:r>
        <w:t>Der Beschwerdeführer rügt sinngemäss eine Verletzung seines Anspruchs auf rechtliches Gehör. Art. 62 Abs. 2 IRSG räume dem Beschwerdegegner ein grosses Ermessen ein. Die angefochtene Verfügung enthalte keine kon- kreten Ausführungen zur Ermessensausübung, sondern halte einzig fest, dass die Kaution zur Deckung der Kosten verwendet werde. Damit werde die Begründungspflicht im Ermessensentscheid verletzt (act. 1 S. 5).</w:t>
      </w:r>
    </w:p>
    <w:p>
      <w:r>
        <w:rPr>
          <w:b/>
        </w:rPr>
        <w:t>E. 5.2</w:t>
      </w:r>
    </w:p>
    <w:p>
      <w:r>
        <w:t>Die aus dem verfassungsmässigen Anspruch auf rechtliches Gehör (Art. 29 Abs. 2 BV) fliessende Verpflichtung der Behörde, ihren Entscheid zu begrün- den, verlangt nicht, dass sich diese mit allen Parteistandpunkten einlässlich auseinandersetzt und jedes einzelne Vorbringen ausdrücklich widerlegt. Vielmehr kann sie sich auf die für den Entscheid wesentlichen Punkte be- schränken, so dass der Entscheid gegebenenfalls sachgerecht angefochten werden kann (BGE 146 II 335 E. 5.1; 143 III 65 E. 5.2 S. 70 f.; je mit Hinwei- sen). An die Begründung sind umso strengere Anforderungen zu stellen, je grösser der der Behörde eingeräumte Ermessensspielraum ist und je vielfäl- tiger die tatsächlichen Voraussetzungen sind, die bei der Betätigung des Er- messens zu berücksichtigen sind (BGE 129 I 232 E. 3.3 S. 239 mit Hinwei- sen).</w:t>
      </w:r>
    </w:p>
    <w:p>
      <w:r>
        <w:rPr>
          <w:b/>
        </w:rPr>
        <w:t>E. 5.3</w:t>
      </w:r>
    </w:p>
    <w:p>
      <w:r>
        <w:t>In der angefochtenen Verfügung bringt der Beschwerdegegner zum Aus- druck, warum er die Kaution von Fr. 5‘000.– vollumfänglich zur Deckung der Haft- und Transportkosten verwendet. Gemäss Art. 62 Abs. 2 IRSG könne persönliches Eigentum des Verfolgten zur Deckung der Kosten verwendet</w:t>
      </w:r>
    </w:p>
    <w:p>
      <w:r>
        <w:t>- 6 -</w:t>
      </w:r>
    </w:p>
    <w:p>
      <w:r>
        <w:t>werden, sofern es nicht auszuliefern sei. Die vom Beschwerdeführer geleis- tete Kaution gehöre ohne Weiteres zu den Vermögenswerten, und damit zum Eigentum des Beschwerdeführers. Dem Beschwerdegegner seien nur schon durch die Auslieferungshaft Kosten von über Fr. 28‘000.– angefallen. Die tatsächlichen Voraussetzungen bei der Betätigung des Ermessens, das Art. 62 Abs. 2 IRSG dem Beschwerdegegner einräumt, sind bestimmt und nicht vielfältig. Die Anforderungen an die Begründung sind deshalb gering. Diesen wird die angefochtene Verfügung gerecht, eine sachgerechte An- fechtung war jedenfalls möglich. Eine Verletzung des Anspruchs auf rechtli- ches Gehör liegt damit nicht vor.</w:t>
      </w:r>
    </w:p>
    <w:p>
      <w:r>
        <w:rPr>
          <w:b/>
        </w:rPr>
        <w:t>E. 5.4</w:t>
      </w:r>
    </w:p>
    <w:p>
      <w:r>
        <w:t>Die Beschwerde erweist sich auch in diesem Punkt als unbegründet.</w:t>
      </w:r>
    </w:p>
    <w:p>
      <w:r>
        <w:rPr>
          <w:b/>
        </w:rPr>
        <w:t>E. 6</w:t>
      </w:r>
    </w:p>
    <w:p>
      <w:r>
        <w:t>Nach dem Gesagten erweist sich die Beschwerde insgesamt als unbegrün- det. Sie ist abzuweisen.</w:t>
      </w:r>
    </w:p>
    <w:p>
      <w:r>
        <w:rPr>
          <w:b/>
        </w:rPr>
        <w:t>E. 7</w:t>
      </w:r>
    </w:p>
    <w:p>
      <w:r>
        <w:t>Bei diesem Ausgang des Verfahrens sind die Gerichtskosten dem Be- schwerdeführer aufzuerlegen (vgl. Art. 63 Abs. 1 VwVG). Die Gerichtsgebühr ist auf Fr. 1'000.– festzusetzen (vgl. Art. 63 Abs. 5 VwVG i.V.m. Art. 73 StBOG sowie Art. 5 und Art. 8 Abs. 3 des Reglements des Bundesstrafge- richts vom 31. August 2010 über die Kosten, Gebühren und Entschädigun- 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