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RR.2020.314 vom 3. März 2021</w:t>
      </w:r>
    </w:p>
    <w:p>
      <w:r>
        <w:t>Bundesstrafgericht, 2021-03-03, FR</w:t>
      </w:r>
    </w:p>
    <w:p>
      <w:r>
        <w:rPr>
          <w:b/>
        </w:rPr>
        <w:t xml:space="preserve">Quelle: </w:t>
      </w:r>
      <w:r>
        <w:t>https://mcp.opencaselaw.ch/entscheid/bstger_RR.2020.314</w:t>
      </w:r>
    </w:p>
    <w:p>
      <w:r>
        <w:t>FR: TPF RR.2020.314 du 3 mars 2021</w:t>
      </w:r>
    </w:p>
    <w:p>
      <w:r>
        <w:t>IT: TPF RR.2020.314 del 3 marzo 2021</w:t>
      </w:r>
    </w:p>
    <w:p>
      <w:pPr>
        <w:pStyle w:val="Heading2"/>
      </w:pPr>
      <w:r>
        <w:t>Regeste</w:t>
      </w:r>
    </w:p>
    <w:p>
      <w:r>
        <w:t>Entraide judiciaire internationale en matière pénale à la Lettonie. Remise de moyens de preuve (art. 74 EIMP).</w:t>
      </w:r>
    </w:p>
    <w:p>
      <w:pPr>
        <w:pStyle w:val="Heading2"/>
      </w:pPr>
      <w:r>
        <w:t>Erwägungen</w:t>
      </w:r>
    </w:p>
    <w:p>
      <w:r>
        <w:rPr>
          <w:b/>
        </w:rPr>
        <w:t>E. 1</w:t>
      </w:r>
    </w:p>
    <w:p>
      <w:r>
        <w:t>L’entraide judiciaire entre la Confédération suisse et la Lettonie est régie en premier lieu par la Convention européenne d’entraide judiciaire en matière pénale (CEEJ; 0.351.1). Peut également s'appliquer en l'occurrence la Convention n° 141 du Conseil de l’Europe relative au blanchiment, au dépistage, à la saisie et à la confiscation des produits du crime (CBl; RS 0.311.53), entrée en vigueur le 1er septembre 1993 pour la Suisse et le 1er avril 1999 pour la Lettonie. Les dispositions de ces traités l’emportent sur le droit interne régissant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t>- 4 -</w:t>
      </w:r>
    </w:p>
    <w:p>
      <w:r>
        <w:rPr>
          <w:b/>
        </w:rPr>
        <w:t>E. 1.2</w:t>
      </w:r>
    </w:p>
    <w:p>
      <w:r>
        <w:t>Formé dans les trente jours à compter de la notification de la décision attaquée, le recours a été déposé en temps utile (art. 80k EIMP).</w:t>
      </w:r>
    </w:p>
    <w:p>
      <w:r>
        <w:rPr>
          <w:b/>
        </w:rPr>
        <w:t>E. 1.3</w:t>
      </w:r>
    </w:p>
    <w:p>
      <w:r>
        <w:t>La recourante, titulaire du compte dont les informations doivent être communiquées à l’autorité requérante, a incontestablement qualité pour agir (art. 9a let. a OEIMP).</w:t>
      </w:r>
    </w:p>
    <w:p>
      <w:r>
        <w:rPr>
          <w:b/>
        </w:rPr>
        <w:t>E. 1.4</w:t>
      </w:r>
    </w:p>
    <w:p>
      <w:r>
        <w:t>Il y a donc lieu d’entrer en matière.</w:t>
      </w:r>
    </w:p>
    <w:p>
      <w:r>
        <w:rPr>
          <w:b/>
        </w:rPr>
        <w:t>E. 2</w:t>
      </w:r>
    </w:p>
    <w:p>
      <w:r>
        <w:t>La recourante dénonce une violation de l’art. 2 CEEJ. Elle craint que les documents dont la transmission à la Lettonie a été ordonnée ne soient remis à des Etats tiers, ce qui violerait le principe de la spécialité. La recourante relève que dans le demande d’entraide, l’Etat requérant explique que la procédure ouverte pour blanchiment d’argent serait en lien avec l’attribution à Malte du marché pour la production ou le commerce de gaz de pétrole liquéfié à la recourante. Selon cette dernière, il n’est pas à exclure qu’à l’avenir Malte ouvre une procédure contre elle pour ces faits, qui ne relèveraient toutefois pas du blanchiment d’argent. La recourante estime que ce pays pourrait alors demander l’entraide à la Lettonie, qui la lui accorderait sans doute (act. 1, p. 4). Ainsi, de l’avis de la recoutante, les autorités lettones devraient expressément s’engager qu’elles ne transmettront pas à des Etats tiers les renseignements contenus dans les documents transmis.</w:t>
      </w:r>
    </w:p>
    <w:p>
      <w:r>
        <w:rPr>
          <w:b/>
        </w:rPr>
        <w:t>E. 2.1</w:t>
      </w:r>
    </w:p>
    <w:p>
      <w:r>
        <w:t>Il sied de relever qu’il est de jurisprudence constante que seules peuvent invoquer le principe de la spécialité les personnes courant le risque concret d’une utilisation prohibée, notamment à des fins fiscales, des renseignements transmis (arrêt du Tribunal fédéral 1C_32/2018 du 26 janvier 2018 consid. 1.3). En l’espèce, l’on peut s’interroger si tel est le cas pour la recourante dont le siège se trouve aux Emirats arabes unis (act. 4.3). En effet, elle ne démontre pas qu’elle exercerait une activité à Malte ou en Lettonie qui lui ferait encourir un risque concret. La question de la recevabilité du grief peut toutefois souffrir de rester indécise eu égard aux développements qui suivent (infra consid. 2.2).</w:t>
      </w:r>
    </w:p>
    <w:p>
      <w:r>
        <w:rPr>
          <w:b/>
        </w:rPr>
        <w:t>E. 2.2</w:t>
      </w:r>
    </w:p>
    <w:p>
      <w:r>
        <w:t>Selon l’art. 67 al. 1 EIMP et la réserve faite par la Suisse à l’art. 2 let. b CEEJ,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EIMP et 2 let. a CEEJ; ATF 126 II 316 consid. 2b; 125 II 258 consid. 7a/aa; 124 II 184 consid. 4b et les arrêts cités). A contrario, les moyens de preuve et les renseignements obtenus par voie d’entraide</w:t>
      </w:r>
    </w:p>
    <w:p>
      <w:r>
        <w:t>- 5 -</w:t>
      </w:r>
    </w:p>
    <w:p>
      <w:r>
        <w:t>peuvent dans l’Etat requérant être utilisés aux fins d’investigation ainsi que comme moyens de preuve dans la procédure pénale pour laquelle l’entraide a été demandée, ou dans toute autre procédure pénale, sous réserve des exceptions mentionnées. L’autorité d’exécution doit signaler à l’Etat requérant ce principe et lui rappeler les limites dans lesquelles les informations communiquées seront utilisées (v. art. 34 OEIMP). Il n’y a pas lieu de douter que celui-ci respectera le principe de la spécialité, en vertu de la présomption de fidélité au traité (ATF 110 Ib 392 consid. 5b; arrêts du Tribunal pénal fédéral RR.2009.230 du 16 février 2010 consid. 4.10; RR.2009.150 du 11 septembre 2009 consid. 3.1), qu’une violation passée ne saurait renverser (ATF 110 Ib 392 consid. 5c; 109 Ib 317 consid. 14b; 107 Ib 264 consid. 4b).</w:t>
      </w:r>
    </w:p>
    <w:p>
      <w:r>
        <w:rPr>
          <w:b/>
        </w:rPr>
        <w:t>E. 2.3</w:t>
      </w:r>
    </w:p>
    <w:p>
      <w:r>
        <w:t>Il convient finalement de relever que l’autorité d’exécution a pris le soin, dans la décision attaquée, de réserver le principe de la spécialité en ces termes: « ordonne l’acheminement de ces pièces à l’Etat requérant en réservant la condition de la spécialité (CEEJ: Réserves et déclarations de la Suisse, art. 2 lettres b et c […] ». Ceci paraît propre à prévenir toute utilisation abusive des renseignements transmis et ne nécessite pas de rappel plus explicite. Telle qu’elle est formulée, la réserve de la spécialité empêche l’autorité requérante d’utiliser les moyens de preuve recueillis en Suisse pour la poursuite d’infractions pour lesquelles la Suisse n’accorde pas l’entraide, en particulier pour la répression de pures infractions fiscales. Comme de coutume, lors de la transmission de la documentation, les autorités suisses d’exécution ou l’OFJ attirent l’attention de l’autorité requérante sur la portée de la réserve de la spécialité. Pour le surplus, la recourante n’étaye pas ses craintes avec des éléments concrets pouvant permettre à la Cour de céans de retenir un quelconque risque de violation de la part de l’Etat requérant rompu au respect de ladite réserve. En ce qui concerne les craintes de la recourante quant à la transmission des informations de la part de la Lettonie à Malte, il y a lieu de relever que la règle de la spécialité empêche une telle transmission sans le consentement préalable de l’OFJ (v. art. 67 al. 2 EIMP). De surcroît et à cet égard, la recourante n’étaye à nouveau pas ses craintes avec des éléments concrets pouvant permettre à la Cour de céans de retenir un quelconque risque de violation de la part de l’Etat requérant de ladite réserve.</w:t>
      </w:r>
    </w:p>
    <w:p>
      <w:r>
        <w:rPr>
          <w:b/>
        </w:rPr>
        <w:t>E. 2.4</w:t>
      </w:r>
    </w:p>
    <w:p>
      <w:r>
        <w:t>Ce grief, mal fondé, doit par conséquent être rejeté.</w:t>
      </w:r>
    </w:p>
    <w:p>
      <w:r>
        <w:rPr>
          <w:b/>
        </w:rPr>
        <w:t>E. 3</w:t>
      </w:r>
    </w:p>
    <w:p>
      <w:r>
        <w:t>La recourante relève que l’Etat requérant s’intéresse, de manière expresse et exhaustive, à plusieurs transferts bancaires qui ont eu lieu entre le 19 janvier 2017 et le 5 mai 2017 (act. 1.2, p. 2). Dès lors, elle s’interroge s’il</w:t>
      </w:r>
    </w:p>
    <w:p>
      <w:r>
        <w:t>- 6 -</w:t>
      </w:r>
    </w:p>
    <w:p>
      <w:r>
        <w:t>se justifie de transmettre aux autorités lettones quelque relevé bancaire « débordant du cadre temporel allégué », soit allant du 1er janvier 2015 à ce jour (act. 1, p. 4). La recourante argue que la communication de relevés bancaires couvrant une période de cinq ans, accordée par l’autorité intimée, apparaît ainsi à l’évidence comme disproportionnée dans la mesure où seuls les mouvements bancaires intervenus entre le 19 janvier et le 5 mai 2017 intéressent l’autorité requérante (act. 1, p. 5). La recourante, de par ses arguments, invoque en l’espèce une violation du principe de la proportionnalité.</w:t>
      </w:r>
    </w:p>
    <w:p>
      <w:r>
        <w:rPr>
          <w:b/>
        </w:rPr>
        <w:t>E. 3.1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 du Tribunal fédéral 1C_582/2015 du 10 novembre 2015 consid. 1.4).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w:t>
      </w:r>
    </w:p>
    <w:p>
      <w:r>
        <w:t>- 7 -</w:t>
      </w:r>
    </w:p>
    <w:p>
      <w:r>
        <w:t>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RR.2015.314 du 24 février 2016 consid. 2.2; RR.2010.173 du 13 octobre 2010 consid. 4.2.4/a; RR.2009.320 du 2 février 2010 consid. 4.1; ZIMMERMANN, La coopération judiciaire internationale en matière pénale, 5e éd. 2019, n° 723 s.).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RR.2013.231 du 23 octobre 2013 consid. 4.1 et les références citées; RR.2008.287 du 9 avril 2009 consid. 2.2.4 et la jurisprudence citée).</w:t>
      </w:r>
    </w:p>
    <w:p>
      <w:r>
        <w:rPr>
          <w:b/>
        </w:rPr>
        <w:t>E. 3.1.1</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arrêt du Tribunal fédéral 1A.249/2006 du 26 janvier 2007 consid. 4.2).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 L'autorité d'exécution, respectivement l'autorité de recours en matière d'entraide, ne peut pas se substituer au juge pénal étranger et n'est pas compétente pour se prononcer sur la substance des chefs d'accusation formulés par les</w:t>
      </w:r>
    </w:p>
    <w:p>
      <w:r>
        <w:t>- 8 -</w:t>
      </w:r>
    </w:p>
    <w:p>
      <w:r>
        <w:t>autorités de poursuite (v. ATF 132 II 81 consid. 2.1; 122 II 373 consid. 1c; 112 Ib 215 consid. 5b; 109 Ib 60 consid. 5a et renvois).</w:t>
      </w:r>
    </w:p>
    <w:p>
      <w:r>
        <w:rPr>
          <w:b/>
        </w:rPr>
        <w:t>E. 3.1.2</w:t>
      </w:r>
    </w:p>
    <w:p>
      <w:r>
        <w:t>Il ressort du dossier que l’Etat requérant mène une procédure du chef de blanchiment d’argent. L’objet de l’enquête lettone est un accord conclu entre Malte et le groupe A. en 2015 portant sur la production et le commerce de gaz de pétrole liquéfié faisait l’objet d’une enquête à Malte, car il aurait été conclu de manière contraire aux intérêts de l’Etat. Des fonds présents sur le compte en Lettonie auprès de la banque C. au nom d’une société D. LP seraient en lien avec cette infraction. Selon les éléments recueillis par l’autorité requérante, le compte de D. LP aurait reçu des fonds de la société E. LP. Or, fentre le 25 mai 2017 et le 13 février 2018, un total de EUR 28'015'815.46 avait été versé sur le compte au nom d'E. LP auprès de la banque F. Ces fonds avaient auparavant été réceptionnés de la part des sociétés du groupe A., soit la recourante et Ab. DMCC, toutes deux sises aux Emirats arabes unis mais détenant des comptes auprès de banques en Suisse, et A. SA, sise en Suisse à Genève. Ainsi, l’Etat requérant cherche à déterminer l’origine des fonds verser par les sociétés du groupe A. susnommées (act. 1.2; dossier du MP-GE, pièce n° 3).</w:t>
      </w:r>
    </w:p>
    <w:p>
      <w:r>
        <w:rPr>
          <w:b/>
        </w:rPr>
        <w:t>E. 3.1.3</w:t>
      </w:r>
    </w:p>
    <w:p>
      <w:r>
        <w:t>En l’espèce, la recourante est expressément mentionnée dans la commission rogatoire lettone. Il n'apparaît donc pas disproportionné, mais au contraire conforme au principe de l‘utilité potentielle, que les documents bancaires de cette entité soient transmis comme moyens de preuve à l’autorité requérante. En effet, ces renseignements concernent, de près ou de loin, l'infraction sous enquête et sont propres à éclairer l'enquête étrangère (supra consid. 3.1.1). Si certes l’autorité requérante fait état de transactions importantes entre le compte d'Ab. DMCC et celui d'E. LP du 19 janvier 2017 au 5 mai 2017 pour un total de USD 11'564'264.00 et du</w:t>
      </w:r>
    </w:p>
    <w:p>
      <w:r>
        <w:rPr>
          <w:b/>
        </w:rPr>
        <w:t>E. 3.2</w:t>
      </w:r>
    </w:p>
    <w:p>
      <w:r>
        <w:t>Force est de constater que le MP-GE s’en est tenu à ce que l’autorité requérante a explicitement demandé et qui par ailleurs, n’en déplaise à la recourante, correspond à la période délictuelle couverte par la commission rogatoire. Il existe en outre un lien de connexité entre les documents requis et les faits exposés dans la demande d’entraide. Par conséquent, ceux-ci permettront entre autre à l’Etat requérant de vérifier que les agissements qu'elle connaît déjà n'ont pas été précédés ou suivis d'autres actes du même genre (supra consid. 3.1.1). Au vu des éléments susmentionnés, le principe</w:t>
      </w:r>
    </w:p>
    <w:p>
      <w:r>
        <w:t>- 9 -</w:t>
      </w:r>
    </w:p>
    <w:p>
      <w:r>
        <w:t>de la proportionnalité est amplement respecté et le grief doit être rejeté.</w:t>
      </w:r>
    </w:p>
    <w:p>
      <w:r>
        <w:t>4. Il s’ensuit que le recours, mal fondé, est rejeté.</w:t>
      </w:r>
    </w:p>
    <w:p>
      <w:r>
        <w:t>5. En règle générale, les frais de procédure comprenant l’émolument d’arrêté, les émoluments de chancellerie et les débours sont mis à la charge des parties qui succombent (art. 63 al. 1 de la loi fédérale sur la procédure administrative [PA; RS 172.021], applicable par renvoi de l’art. 39 al. 2 LOAP). Le montant de l’émolument est calculé en fonction de l’ampleur et de la difficulté de la cause, de la façon de procéder des parties, de leur situation financière et des frais de chancellerie (art. 73 al. 2 LOAP). La recourante supportera ainsi les frais du présent arrêt, fixé à CHF 5'000.-- (art. 73 al. 2 LOAP et art. 8 al. 3 du règlement du Tribunal pénal fédéral sur les frais, émoluments, dépens et indemnités de la procédure pénale fédérale [RFPPF; RS 173.713.162] et art. 63 al. 5 PA), entièrement couverts par l’avance de frais effectuée.</w:t>
      </w:r>
    </w:p>
    <w:p>
      <w:r>
        <w:t>- 10 -</w:t>
      </w:r>
    </w:p>
    <w:p>
      <w:r>
        <w:rPr>
          <w:b/>
        </w:rPr>
        <w:t>E. 6</w:t>
      </w:r>
    </w:p>
    <w:p>
      <w:r>
        <w:t>mars 2017 au 31 janvier 2018 quant au compte de la recourante pour un total de USD 1'719'620.00 (act. 1.2, p. 2), il n’empêche qu’elle requiert les autorités suisses de lui transmettre la documentation bancaire de la recourante pour la période allant du 1er janvier 2015 au jour de l’exécution de l’entraide (act. 1.2, p.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