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RR.2020.307 vom 26. Februar 2021</w:t>
      </w:r>
    </w:p>
    <w:p>
      <w:r>
        <w:t>Bundesstrafgericht, 2021-02-26, IT</w:t>
      </w:r>
    </w:p>
    <w:p>
      <w:r>
        <w:rPr>
          <w:b/>
        </w:rPr>
        <w:t xml:space="preserve">Quelle: </w:t>
      </w:r>
      <w:r>
        <w:t>https://mcp.opencaselaw.ch/entscheid/bstger_RR.2020.307</w:t>
      </w:r>
    </w:p>
    <w:p>
      <w:r>
        <w:t>FR: TPF RR.2020.307 du 26 février 2021</w:t>
      </w:r>
    </w:p>
    <w:p>
      <w:r>
        <w:t>IT: TPF RR.2020.307 del 26 febbraio 2021</w:t>
      </w:r>
    </w:p>
    <w:p>
      <w:pPr>
        <w:pStyle w:val="Heading2"/>
      </w:pPr>
      <w:r>
        <w:t>Regeste</w:t>
      </w:r>
    </w:p>
    <w:p>
      <w:r>
        <w:t>Assistenza giudiziaria internazionale in materia penale alla Città del Vaticano.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pertinenti normative (v. art. 39 cpv. 2 lett. b LOAP e 12 cpv. 1 AIMP; DANGUBIC/KESHELAVA, Commentario basilese, Internationales Strafrecht, 2015, n. 1 e segg. ad art. 12 AIMP), di cui al precedente considerando.</w:t>
      </w:r>
    </w:p>
    <w:p>
      <w:r>
        <w:rPr>
          <w:b/>
        </w:rPr>
        <w:t>E. 1.4</w:t>
      </w:r>
    </w:p>
    <w:p>
      <w:r>
        <w:t>Interposto tempestivamente contro la sopraccitata decisione di chiusura, il ri- corso del 10 novembre 2020 è ricevibile sotto il profilo degli art. 25 cpv. 1, 80e cpv. 1 e 80k AIMP. Intestataria della relazione oggetto della decisione impu- gnata, la ricorrente è legittimata a ricorrere (v. art. 80h lett. b AIMP e art. 9a lett. a OAIMP nonché DTF 137 IV 134 consid. 5.2.1; 130 II 162 consid. 1.1; 128 II 211 consid. 2.3; TPF 2007 79 consid. 1.6 pag. 82).</w:t>
      </w:r>
    </w:p>
    <w:p>
      <w:r>
        <w:t>- 4 -</w:t>
      </w:r>
    </w:p>
    <w:p>
      <w:r>
        <w:rPr>
          <w:b/>
        </w:rPr>
        <w:t>E. 2</w:t>
      </w:r>
    </w:p>
    <w:p>
      <w:r>
        <w:t>La ricorrente sostiene innanzitutto che la domanda di assistenza giudiziaria va- ticana sia irricevibile giusta l’art. 2 lett. a e d AIMP. A suo dire, l’assenza di una raccolta completa e facilmente consultabile delle leggi penali e processuali in vigore nello Stato vaticano comprometterebbe l’accessibilità alle stesse, ciò che porrebbe in discussione il rispetto del principio della legalità ai sensi degli art. 6 e 7 CEDU. Citando alcune norme estere, essa afferma che i principi fondamen- tali relativi alla qualità del giudice e all’equità del procedimento non sarebbero minimamente rispettati nello Stato rogante, “dove il Sovrano adotta le leggi, le attua e infine le applica per il tramite di magistrati da lui selezionati e poi (poten- zialmente) scelti, di volta in volta, in qualsiasi momento della procedura, a pro- pria discrezione” (v. act. 1, pag. 6). Parimenti priva delle necessarie garanzie sarebbe la procedura, “sia perché obsoleta e priva delle garanzie che ogni Stato moderno assicura agli imputati, sia perché prevede la possibilità di deferimento ad un Tribunale d’eccezione, sia perché consente condanne anche in assenza di basi legali, sia perché non garantisce la parità di trattamento fra gli indagati di un medesimo procedimento” (ibidem). L’assenza di garanzie di un processo equo conseguente alla struttura istituzionale e legislativa vaticane sarebbe an- cora più problematica nella situazione concreta, in cui il Sommo Pontefice avrebbe addirittura la veste di parte lesa, nella misura in cui oggetto della “de- predazione” sarebbe l’Obolo di San Pietro.</w:t>
      </w:r>
    </w:p>
    <w:p>
      <w:r>
        <w:rPr>
          <w:b/>
        </w:rPr>
        <w:t>E. 2.1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L'e- 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giudice dell'assistenza deve dar prova a tal proposito di una prudenza parti- 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 tière pénale, 5a ediz. 2019, n. 683 e rinvii).</w:t>
      </w:r>
    </w:p>
    <w:p>
      <w:r>
        <w:t>- 5 -</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 del 5 ottobre 2016 consid. 2.2; 1C_79/2014 del 14 febbraio 2014 consid. 2.3; ZIMMERMANN, op. cit., n. 681).</w:t>
      </w:r>
    </w:p>
    <w:p>
      <w:r>
        <w:rPr>
          <w:b/>
        </w:rPr>
        <w:t>E. 2.2</w:t>
      </w:r>
    </w:p>
    <w:p>
      <w:r>
        <w:t>Essendo la ricorrente una persona giuridica con sede in Svizzera e non es- sendo essa stessa oggetto della procedura penale nella Città del Vaticano, la relativa censura non va esaminata oltre.</w:t>
      </w:r>
    </w:p>
    <w:p>
      <w:r>
        <w:rPr>
          <w:b/>
        </w:rPr>
        <w:t>E. 3</w:t>
      </w:r>
    </w:p>
    <w:p>
      <w:r>
        <w:t>L’insorgente critica l’esposto dei fatti contenuto nella rogatoria, nella misura in cui esso non permetterebbe di sapere per quali reati E. sarebbe indagato né di comprendere il motivo del coinvolgimento della società ricorrente.</w:t>
      </w:r>
    </w:p>
    <w:p>
      <w:r>
        <w:rPr>
          <w:b/>
        </w:rPr>
        <w:t>E. 3.1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3.2</w:t>
      </w:r>
    </w:p>
    <w:p>
      <w:r>
        <w:t>In concreto, dalla rogatoria risulta che “tra novembre 2018 e maggio 2019 la Segreteria di Stato Vaticana ha effettuato le seguenti operazioni finanziarie: 1. Disinvestimento dal Fondo G., comparto della Fund H. riferibile al finanziere B. 2. Acquisto dell’intera proprietà dell’immobile sito a Z., di cui era proprietaria solo al 45%, per mezzo della società I. SA di C. 3. Estromissione di C. dall’in- vestimento mediante un pagamento di 15 milioni di Euro e passaggio di pro-</w:t>
      </w:r>
    </w:p>
    <w:p>
      <w:r>
        <w:t>- 6 -</w:t>
      </w:r>
    </w:p>
    <w:p>
      <w:r>
        <w:t>prietà dell’immobile alla società J. SA, newco interamente posseduta dalla Se- greteria di Stato. Tali operazioni, effettuate con la consulenza del gestore patri- moniale di fiducia della Segreteria di Stato, E., hanno visto l’impiego di somme a destinazione vincolata e con il ricorso a schemi di investimento non trasparenti né coerenti con le normali prassi che regolano gli investimenti immobiliari (da qui l’ipotesi di peculato per distrazione) generato ingenti danni al patrimonio della Santa Sede. L’Ufficio Amministrativo della Segreteria di Stato che ha se- guito i fatti, e che allo stato delle indagini è gravemente indiziato dei reati sopra ipotizzati, era composto da: K. (Capo Ufficio), D. (funzionario) e L. (funzionario). Si evidenzia come l’investimento nel fondo G. origina da due finanziamenti ero- gati dalla banca F. e banca M., entrambi gestiti da E., per un totale di 200,5 milioni di USD. Alla data del 30-9-2019 tali finanziamenti risultavano ancora in essere per un importo pari a 172 milioni di Euro presso la banca F., garantiti dal pegno generale sulle disponibilità rivenienti dalle offerte dei fedeli per il c.d. Obolo di San Pietro e da altri fondi aventi vincolo di scopo. Il ricorso a questa struttura finanziaria, realizzata attraverso la costituzione in pegno dei fondi vin- colati anziché attraverso l’impiego diretto delle disponibilità liquide (cd. Credito Lombard), a parere di questo Ufficio, rappresenta la forte evidenza indiziaria del fatto che essa abbia rappresentato un escamotage per non rendere visibile – come del resto avvenuto per moltissimi anni – la distrazione compiuta. Appare inspiegabile il fatto che, a fronte di liquidità disponibili presso la banca F. per oltre 450 milioni di Euro e concesse in pegno alla banca, la Segreteria di Stato abbia fatto ricorso ad un finanziamento” (act. 8.1, pag. 2 e seg.). Dopo aver fornito i dettagli delle tre fasi sopraelencate (v. 8.1, pag. 2 e segg.), l’autorità rogante afferma che “allo stato delle indagini i danni arrecati al patrimonio della Segreteria di Stato per effetto delle condotte distrattive sopra descritte, risultano di importo ingente (attualmente quantificabili in non meno di 300 milioni di euro)” (act. 8.1, pag. 5). Essa aggiunge che “E. ha avuto un ruolo centrale, sia nell’ope- razione di Londra, sia in generale come gestore delle finanze della Segreteria di Stato dal 1990 […]. La più gran parte delle attività finanziarie della Segreteria di Stato sono depositate presso il Gruppo Bancario F. il cui gestore esterno sui conti svizzeri è E. mediante le sue società N. prima, e O. dopo […]. Nel porta- foglio in deposito presso la banca F. della Segreteria di Stato, appaiono investi- menti diretti ed indiretti effettuati da E. riferibili al medesimo soggetto (lui stesso), con un evidente conflitto di interesse e un possibile rischio di frode a danno della Segreteria di Stato” (act. 8.1, pag. 8). In definitiva, “E. sembra aver contribuito ad utilizzare i fondi della Segreteria di Stato per fini diversi da quelli istituzionali e per investimenti speculativi e non redditizi” (v. ibidem).</w:t>
      </w:r>
    </w:p>
    <w:p>
      <w:r>
        <w:t>Il predetto esposto dei fatti risulta sufficiente per comprendere sia i fatti oggetto d’indagine, i quali toccano anche la ricorrente, nella misura in cui società ricon- ducibile all’imputato E., sia i reati contestati agli indagati. Esso è senz’altro con- forme a quanto prescritto dall’art. 28 AIMP e dalla relativa giurisprudenza, per cui le censure in questo ambito vanno disattese.</w:t>
      </w:r>
    </w:p>
    <w:p>
      <w:r>
        <w:t>- 7 -</w:t>
      </w:r>
    </w:p>
    <w:p>
      <w:r>
        <w:rPr>
          <w:b/>
        </w:rPr>
        <w:t>E. 4</w:t>
      </w:r>
    </w:p>
    <w:p>
      <w:r>
        <w:t>La ricorrente afferma che l’autorità rogante avrebbe inserito il nome di E. nella domanda di assistenza pur non avendo alcun specifico comportamento da ad- debitargli, per vedere se da tutti i documenti reperibili (bancari, e-mails, mes- saggi telefonici o altro) potesse emergere l’indizio di un qualche reato da inda- gare a suo carico, ciò che costituirebbe una ricerca indiscriminata di prove. Inol- tre, non figurando il nome della ricorrente nell’elenco delle persone giuridiche per le quali è stata richiesta la trasmissione di documentazione bancaria e il sequestro di conti, il MPC, con la decisione impugnata, avrebbe statuito ultra petita. In definitiva, non essendovi un rapporto di causalità diretta tra i reati per- seguiti e la relazione oggetto della decisione impugnata, le cui movimentazioni in entrata e in uscita sarebbero tutte estranee al procedimento estero, il seque- stro risulterebbe ingiustificato.</w:t>
      </w:r>
    </w:p>
    <w:p>
      <w:r>
        <w:rPr>
          <w:b/>
        </w:rPr>
        <w:t>E. 4.1.1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bancaria,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 sere informato di tutte le transazioni effettuate attraverso i conti coinvolti. L’au- torità richiedente ha un interesse ad essere informata di qualsiasi transazione</w:t>
      </w:r>
    </w:p>
    <w:p>
      <w:r>
        <w:t>- 8 -</w:t>
      </w:r>
    </w:p>
    <w:p>
      <w:r>
        <w:t>che possa far parte del meccanismo delittuoso messo in atto dalle persone sotto inchiesta (sentenza del Tribunale penale federale RR.2014.4 del 30 luglio 2014 consid. 2.2.2). Naturalmente è anche possibile che i conti in questione non siano stati utilizzati per ricevere proventi di reato o per effettuare trasferimenti illeciti o riciclare fondi,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 zione e del giudice dell'assistenza va limitato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Vietata è per contro la cosiddetta fishing expedition, la quale è definita dalla giurisprudenza una ricerca generale ed indeterminata di mezzi di prova volta a fondare un sospetto senza che esi- 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 missibile procedere a casaccio nella raccolta delle prove (DTF 113 Ib 257 con- sid. 5c). Secondo la giurisprudenza, il principio dell’utilità potenziale gioca un ruolo cruciale nell'ambito dell'assistenza in materia penale. Lo scopo di tale co- operazione è proprio quello di favorire la scoperta di fatti, informazioni e mezzi di prova, compresi quelli di cui l'autorità estera non sospetta neppure l'esi- stenza. Non si tratta soltanto di aiutare lo Stato richiedente a provare i fatti evi- denziati dall'inchiesta, ma di svelarne altri, se ne esistono. Ne deriva, per l'au- torità d'esecuzione, un dovere di esaustività che giustifica la comunicazione di tutti gli elementi da essa raccolti e potenzialmente idonei alle indagini estere, al fine di chiarire in tutti i suoi aspetti i meccanismi delittuosi perseguiti nello Stato rogante (sentenze del Tribunale penale federale RR.2010.173 del 13 ottobre 2010 consid. 4.2.4/a, RR.2009.320 del 2 febbraio 2010 consid. 4.1; ZIMMERMANN, op. cit., n. 722, pag. 798 e seg.).</w:t>
      </w:r>
    </w:p>
    <w:p>
      <w:r>
        <w:t>Il principio della proporzionalità impedisce inoltre all'autorità rogata di agire ultra petita, ovvero di andare oltre i provvedimenti postulati dall'autorità richiedente,</w:t>
      </w:r>
    </w:p>
    <w:p>
      <w:r>
        <w:t>- 9 -</w:t>
      </w:r>
    </w:p>
    <w:p>
      <w:r>
        <w:t>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4.1.2</w:t>
      </w:r>
    </w:p>
    <w:p>
      <w:r>
        <w:t>In concreto, essendo la ricorrente una società riconducibile all’imputato E., la documentazione litigiosa presenta un’utilità potenziale per l’inchiesta estera già solo per questo motivo. Proprio perché società riconducibili al predetto indagato sarebbero state utilizzate per diversi anni per gestire il patrimonio e gli investi- menti della Segreteria di Stato vaticana (v. supra consid. 3.2), la documenta- zione litigiosa deve essere messa a disposizione dell’autorità rogante. Il MPC ha del resto messo in evidenza svariate operazioni intervenute sul conto (ac- crediti e addebiti di somme molto importanti indubbiamente compatibili con le ipotesi investigative; v. act. 1.1, pag. 8) che meritano degli approfondimenti da parte degli inquirenti esteri. Visto quanto precede, le censure in questo ambito vanno disattese.</w:t>
      </w:r>
    </w:p>
    <w:p>
      <w:r>
        <w:rPr>
          <w:b/>
        </w:rPr>
        <w:t>E. 4.2.1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4.2.2</w:t>
      </w:r>
    </w:p>
    <w:p>
      <w:r>
        <w:t>Ebbene, visto quanto esposto in precedenza (v. supra consid. 3.2 e 4.1.2) non- ché il danno globale di non meno di EUR 300 milioni indicato dall’autorità ro- gante, importo decisamente superiore ai valori qui sequestrati, è senz'altro pos- sibile concludere che esistono elementi sufficienti per confermare il sequestro</w:t>
      </w:r>
    </w:p>
    <w:p>
      <w:r>
        <w:t>- 10 -</w:t>
      </w:r>
    </w:p>
    <w:p>
      <w:r>
        <w:t>della relazione intestata alla ricorrente. Il potenziale nesso fra il denaro seque- strato e i reati contestati ad E. è dato: toccherà poi all'autorità estera accertare se il denaro in questione è effettivamente di origine illecita. In caso affermativo, esso potrebbe fare l'oggetto di una decisione di confisca o di restituzione all'a- vente diritto nello Stato richiedente (v. art. 74a cpv. 1 e 2 AIMP nonché DTF 123 II 134 consid. 5c; 123 II 268 consid. 4; 123 II 595 consid. 3). In definitiva, il sequestro litigioso deve essere mantenuto di principio sino alla notifica di una decisione definitiva ed esecutiva dello Stato richiedente o fintanto che quest'ul- timo non abbia comunicato che una tale decisione non può più essere pronun- ciata (art. 74a cpv. 3 AIMP e 33a OAIMP; TPF 2007 124 consid. 8 e rinvii), ferma restando la necessità che la procedura all'estero avanzi (DTF 126 II 462 consid. 5e). La ricorrente non ha peraltro sostanziato nessuno sproporzionato pregiudizio economico cagionato dal sequestro, per cui anche da questo punto di vista la misura in questione non presenta sostanziali criticità. Ne consegue che il sequestro va confermato e la relativa censura respinta.</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6'000.–, a carico della ricorrente;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