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RR.2020.298 vom 26. Februar 2021</w:t>
      </w:r>
    </w:p>
    <w:p>
      <w:r>
        <w:t>Bundesstrafgericht, 2021-02-26, IT</w:t>
      </w:r>
    </w:p>
    <w:p>
      <w:r>
        <w:rPr>
          <w:b/>
        </w:rPr>
        <w:t xml:space="preserve">Quelle: </w:t>
      </w:r>
      <w:r>
        <w:t>https://mcp.opencaselaw.ch/entscheid/bstger_RR.2020.298</w:t>
      </w:r>
    </w:p>
    <w:p>
      <w:r>
        <w:t>FR: TPF RR.2020.298 du 26 février 2021</w:t>
      </w:r>
    </w:p>
    <w:p>
      <w:r>
        <w:t>IT: TPF RR.2020.298 del 26 febbraio 2021</w:t>
      </w:r>
    </w:p>
    <w:p>
      <w:pPr>
        <w:pStyle w:val="Heading2"/>
      </w:pPr>
      <w:r>
        <w:t>Regeste</w:t>
      </w:r>
    </w:p>
    <w:p>
      <w:r>
        <w:t>Assistenza giudiziaria internazionale in materia penale alla Città del Vaticano.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pertinenti normative (v. art. 39 cpv. 2 lett. b LOAP e 12 cpv. 1 AIMP; DANGUBIC/KESHELAVA, Commentario basilese, Internationales Strafrecht, 2015, n. 1 e segg. ad art. 12 AIMP), di cui al precedente considerando.</w:t>
      </w:r>
    </w:p>
    <w:p>
      <w:r>
        <w:rPr>
          <w:b/>
        </w:rPr>
        <w:t>E. 1.4</w:t>
      </w:r>
    </w:p>
    <w:p>
      <w:r>
        <w:t>La decisione dell’autorità cantonale o federale d’esecuzione relativa alla chiu- sura della procedura d’assistenza giudiziaria può essere impugnata, congiun- tamente alle decisioni incidentali anteriori (art. 80e cpv. 1 AIMP). Le decisioni</w:t>
      </w:r>
    </w:p>
    <w:p>
      <w:r>
        <w:t>- 4 -</w:t>
      </w:r>
    </w:p>
    <w:p>
      <w:r>
        <w:t>incidentali anteriori alla decisione di chiusura possono essere impugnate sepa- ratamente se causano un pregiudizio immediato e irreparabile mediante il se- questro di beni e valori (art. 80e cpv. 2 lett. a AIMP) oppure mediante la pre- senza di persone che partecipano al processo estero (art. 80e cpv. 2 lett. b AIMP).</w:t>
      </w:r>
    </w:p>
    <w:p>
      <w:r>
        <w:rPr>
          <w:b/>
        </w:rPr>
        <w:t>E. 1.4.1</w:t>
      </w:r>
    </w:p>
    <w:p>
      <w:r>
        <w:t>La decisione mediante la quale un'autorità d'esecuzione in materia di assi- stenza internazionale ordina un sequestro è una decisione incidentale ai sensi dell'art. 80e cpv. 2 AIMP (sentenza del Tribunale federale 1A.245/2002 del 24 febbraio 2003 consid. 1). In linea di massima questo vale anche allorquando l'autorità d'esecuzione conferma un sequestro o respinge una domanda di dis- sequestro (TPF 2007 124 consid. 2.2). In tutti i casi, la procedura in corso deve concludersi infatti con una decisione di chiusura che determini la destinazione finale dei valori (v. art. 74a cpv. 1 unitamente ad art. 80d AIMP), fermo restando che nell'attesa di tale decisione le misure conservative restano in vigore, riser- vato il caso di espressa comunicazione da parte dell'autorità estera che la con- fisca non può più essere pronunciata (v. art. 33a OAIMP).</w:t>
      </w:r>
    </w:p>
    <w:p>
      <w:r>
        <w:rPr>
          <w:b/>
        </w:rPr>
        <w:t>E. 1.4.2</w:t>
      </w:r>
    </w:p>
    <w:p>
      <w:r>
        <w:t>L'art. 74a AIMP regola il destino degli oggetti e valori sequestrati a titolo con- servativo. Tali valori possono essere consegnati allo Stato richiedente in vista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esecutiva dello Stato ri- chiedente (cpv. 3). Tale regolamentazione costituisce una particolarità della "piccola assistenza" conformemente alla terza parte dell'AIMP: di regola, è suf- ficiente che una procedura legata ad una causa penale sia pendente all'estero ai sensi dell'art. 63 cpv. 3 AIMP affinché l'assistenza sia concessa; ciò significa che l'assistenza può essere fornita ad uno stadio molto precoce della proce- dura. Per contro, la consegna di valori a scopo di confisca o di restituzione è, di regola, unicamente possibile dopo la chiusura della procedura penale o di con- fisca estera, allorquando esiste una sentenza esecutiva (DTF 126 II 462 con- sid. 5c; 123 II 595 consid. 4 e 5; sentenza del Tribunale penale federale RR.2007.207 del 6 novembre 2008 consid. 2.3). Per questa forma di coopera- zione, vi è il rischio non trascurabile che molti anni trascorrano tra il sequestro dei valori e la consegna, segnatamente a causa di esigenze procedurali nello Stato richiedente (v. sentenza del Tribunale federale 1A.335/2005 del 18 agosto 2006 consid. 1; TPF 2007 124 consid. 2.3.4; sentenza del Tribunale penale fe- derale RR.2009.159 dell'8 marzo 2010 consid. 2). Tale sistema può sfociare in situazioni insoddisfacenti. In effetti, il titolare del conto che acconsente alla con- segna semplificata della documentazione bancaria giusta l'art. 80c AIMP non può far verificare da un'autorità giudiziaria il rispetto delle condizioni di conces- sione dell'assistenza impugnando la decisione incidentale di conferma del se- questro congiuntamente alla decisione di chiusura concernente la trasmissione</w:t>
      </w:r>
    </w:p>
    <w:p>
      <w:r>
        <w:t>- 5 -</w:t>
      </w:r>
    </w:p>
    <w:p>
      <w:r>
        <w:t>della documentazione bancaria (v. art. 80e cpv. 1 AIMP), in quanto una tale decisione per l'appunto manca. Di principio, l'atto mediante il quale l'autorità d'esecuzione constata il consenso alla trasmissione semplificata – nella fatti- specie tale consenso figura in uno scritto della ricorrente del 16 luglio 2020 (v. act. 1.1, pag. 4) – non è impugnabile, salvo la sussistenza di un errore ai sensi degli articoli 23 e segg. CO (v. FF 1995 III pag. 30; sentenza del Tribunale fe- derale 1A.64/2005 del 25 maggio 2005 consid. 2.3.1; sentenze del Tribunale penale federale RR.2007.94 dell'8 novembre 2007 consid. 1.3; RR.2007.104 del 12 luglio 2007). Detto ciò, conformemente alla giurisprudenza di questa Corte, risulta evidente che colui che, dimostrando un'attitudine cooperativa ed in sintonia col principio di celerità (art. 17a AIMP), acconsente alla trasmissione semplificata non deve essere svantaggiato rispetto a colui che non segue tale via (v. sentenze del Tribunale penale federale RR.2009.159 dell'8 marzo 2010 consid. 2; RR.2009.351/354-355 del 15 aprile 2010 consid. 1.4). Al fine di evi- tare situazioni in contrasto con lo spirito della legge, segnatamente con lo spirito dell'art. 80c AIMP, è d'uopo considerare, a livello procedurale, la decisione im- pugnata come una decisione di chiusura, ciò che ha come prima conseguenza che l'ammissibilità del ricorso non è subordinata all'esistenza di un pregiudizio immediato ed irreparabile ai sensi dell'art. 80e cpv. 2 AIMP e, come seconda conseguenza, che il termine per interporre ricorso non è quello più breve previ- sto per le decisioni incidentali (art. 80k AIMP).</w:t>
      </w:r>
    </w:p>
    <w:p>
      <w:r>
        <w:rPr>
          <w:b/>
        </w:rPr>
        <w:t>E. 1.4.3</w:t>
      </w:r>
    </w:p>
    <w:p>
      <w:r>
        <w:t>In concreto, l'autorità rogante ha sollecitato sia la trasmissione di documenta- zione bancaria concernente il conto litigioso di cui la ricorrente è titolare, sia il sequestro conservativo dei valori ivi depositati. La ricorrente ha acconsentito alla trasmissione semplificata della documentazione bancaria, ma si è opposta al sequestro dei valori presenti sul conto. Visto quanto espresso ai considerandi precedenti, la decisione impugnata deve essere considerata proceduralmente decisione di chiusura, come rettamente fatto dal MPC, per cui il gravame, tem- pestivamente interposto entro il termine di trenta giorni previsto per l'impugna- zione della decisione di chiusura, è ricevibile, senza che sia necessaria l’alle- gazione di un pregiudizio immediato e irreparabile ex art. 80e cpv. 2 lett. a AIMP.</w:t>
      </w:r>
    </w:p>
    <w:p>
      <w:r>
        <w:rPr>
          <w:b/>
        </w:rPr>
        <w:t>E. 2</w:t>
      </w:r>
    </w:p>
    <w:p>
      <w:r>
        <w:t>La ricorrente critica innanzitutto l’esposto dei fatti contenuto nella rogatoria. Essa censura la carenza di motivazione e di verosimiglianza circa la realizza- zione di un’asserita appropriazione indebita e di qualsivoglia altra ipotesi di reato.</w:t>
      </w:r>
    </w:p>
    <w:p>
      <w:r>
        <w:rPr>
          <w:b/>
        </w:rPr>
        <w:t>E. 2.1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w:t>
      </w:r>
    </w:p>
    <w:p>
      <w:r>
        <w:t>- 6 -</w:t>
      </w:r>
    </w:p>
    <w:p>
      <w:r>
        <w:t>contro cui è diretto il procedimento penale, presentando altresì un breve espo- sto dei fatti essenziali, al fine di permettere allo Stato rogato di verificare che non sussistano condizioni ostative all'assistenza (DTF 129 II 97 consid. 3; 118Ib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133IV 76 consid. 2.2; 132 II 81 consid. 2.1; 118 Ib 111 consid. 5b pag. 121 e seg; TPF 2011 194 consid. 2.1.).</w:t>
      </w:r>
    </w:p>
    <w:p>
      <w:r>
        <w:rPr>
          <w:b/>
        </w:rPr>
        <w:t>E. 2.2</w:t>
      </w:r>
    </w:p>
    <w:p>
      <w:r>
        <w:t>In concreto, dalla rogatoria risulta che “tra novembre 2018 e maggio 2019 la Segreteria di Stato Vaticana ha effettuato le seguenti operazioni finanziarie: 1. Disinvestimento dal Fondo H., comparto della Fund I. riferibile al finanziere B. 2. Acquisto dell’intera proprietà dell’immobile sito a Londra, di cui era pro- prietaria solo al 45%, per mezzo della società J. SA di C. 3. Estromissione di C. dall’investimento mediante un pagamento di 15 milioni di Euro e passaggio di proprietà dell’immobile alla società K. SA, newco interamente posseduta dalla Segreteria di Stato. Tali operazioni, effettuate con la consulenza del gestore patrimoniale di fiducia della Segreteria di Stato, E.,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 che ha seguito i fatti, e che allo stato delle indagini è gravemente indiziato dei reati sopra ipotizzati, era composto da: L. (Capo Ufficio), D. (funzionario) e M. (funzionario). Si evidenzia come l’investimento nel fondo H. origina da due fi- nanziamenti erogati dalle banche N. e O., entrambi gestiti da E., per un totale di 200,5 milioni di USD. Alla data del 30-9-2019 tali finanziamenti risultavano ancora in essere per un importo pari a 172 milioni di Euro presso la banca N., garantiti dal pegno generale sulle disponibilità rivenienti dalle offerte dei fedeli 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 diziaria del fatto che essa abbia rappresentato un escamotage per non rendere visibile – come del resto avvenuto per moltissimi anni – la distrazione compiuta. Appare inspiegabile il fatto che, a fronte di liquidità disponibili presso la banca N. per oltre 450 milioni di Euro e concesse in pegno alla banca, la Segreteria di</w:t>
      </w:r>
    </w:p>
    <w:p>
      <w:r>
        <w:t>- 7 -</w:t>
      </w:r>
    </w:p>
    <w:p>
      <w:r>
        <w:t>Stato abbia fatto ricorso ad un finanziamento” (act. 11.2, pag. 2 e seg.). Dopo aver fornito i dettagli delle tre fasi sopraelencate (v. 11.2, pag. 2 e segg.), l’au- torità rogante afferma che “allo stato delle indagini i danni arrecati al patrimonio della Segreteria di Stato per effetto delle condotte distrattive sopra descritte, risultano di importo ingente (attualmente quantificabili in non meno di 300 milioni di euro)” (act. 11.2, pag. 5). Essa aggiunge che “E. ha avuto un ruolo centrale, sia nell’operazione di Londra, sia in generale come gestore delle finanze della Segreteria di Stato dal 1990 […]. La più gran parte delle attività finanziarie della Segreteria di Stato sono depositate presso il Gruppo Bancario N. il cui gestore esterno sui conti svizzeri è E. mediante le sue società P. SA prima, e Q.&amp;Part- ners dopo […]. Nel portafoglio in deposito presso la banca N. della Segreteria di Stato, appaiono investimenti diretti ed indiretti effettuati da E. riferibili al me- desimo soggetto (lui stesso), con un evidente conflitto di interesse e un possibile rischio di frode a danno della Segreteria di Stato” (act. 11.2, pag. 8). In definitiva, “E. sembra aver contribuito ad utilizzare i fondi della Segreteria di Stato per fini diversi da quelli istituzionali e per investimenti speculativi e non redditizi” (v. ibi- dem). Per quanto riguarda più da vicino A. p.l.c., l’autorità rogante afferma che E., direttore e rappresentante della società ricorrente (v. act. 6.1), avrebbe in- trapreso attività d’investimento contravvenendo a tutte le disposizioni della Se- greteria di Stato, avente diritto economico di A. p.l.c., comportandosi sostan- zialmente uti dominus (v. act. 11.1, pag. 2). Nel complemento del 18 maggio 2020 vengono descritte svariate operazioni d’investimento – legate segnata- mente al fondo G. e riprese nella decisione impugnata (v. act. 1.1, pag. 2 e segg.) – ritenute costituire quantomeno il reato di appropriazione indebita, pre- cisato che la Segreteria di Stato avrebbe investito circa EUR 68 milioni nel fondo G.</w:t>
      </w:r>
    </w:p>
    <w:p>
      <w:r>
        <w:t>Il predetto esposto dei fatti risulta sufficiente per comprendere sia i fatti oggetto d'indagine, i quali toccano anche la ricorrente, sia i reati contestati agli indagati. Esso è senz’altro conforme a quanto prescritto dall’art. 28 AIMP e dalla relativa giurisprudenza, per cui le censure in questo ambito vanno disattese.</w:t>
      </w:r>
    </w:p>
    <w:p>
      <w:r>
        <w:rPr>
          <w:b/>
        </w:rPr>
        <w:t>E. 3</w:t>
      </w:r>
    </w:p>
    <w:p>
      <w:r>
        <w:t>L’insorgente afferma che la rogatoria e il suo complemento sarebbero comun- que da rifiutare, almeno per quanto attiene alla fattispecie in esame, vertendo il procedimento vaticano con ogni evidenza su una fattispecie priva di qualsivoglia rilevanza penale ai sensi del diritto svizzero.</w:t>
      </w:r>
    </w:p>
    <w:p>
      <w:r>
        <w:rPr>
          <w:b/>
        </w:rPr>
        <w:t>E. 3.1</w:t>
      </w:r>
    </w:p>
    <w:p>
      <w:r>
        <w:t>Nel diritto interno, il principio della doppia punibilità è espresso all'art. 64 cpv. 1 AIMP. Il giudice dell'assistenza e prima di esso le autorità d'esecuzione non devono procedere a un esame dei reati e delle norme penali menzionati nella domanda di assistenza e verificare la loro corrispondenza con le norme del di- ritto svizzero, ma semplicemente vagliare, limitandosi a un esame prima facie, se i fatti addotti nella domanda estera – effettuata la dovuta trasposizione –</w:t>
      </w:r>
    </w:p>
    <w:p>
      <w:r>
        <w:t>- 8 -</w:t>
      </w:r>
    </w:p>
    <w:p>
      <w:r>
        <w:t>sarebbero punibili anche secondo il diritto svizzero, ricordato che la punibilità secondo il diritto svizzero va determinata senza tener conto delle particolari forme di colpa e condizioni di punibilità da questo previste (DTF 124 II 184 con- sid. 4b/cc pag. 188; 118 Ib 543 consid. 3b/aa pag. 546; 116 Ib 89 consid. 3b/bb; 112 Ib 576 consid. 11b/bb pag. 594). I fatti incriminati non devono forzatamente essere caratterizzati, nelle due legislazioni toccate, dalla medesima qualifica- zione giuridica (DTF 124 II 184 consid. 4b/cc pag. 188). Diversamente dall'am- bito estradizionale, le misure di cooperazione sono già ammesse se la condi- 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 manda di assistenza (v. sentenza del Tribunale federale 1A.205/2006 del 7 di- cembre 2006 consid. 3.2 e sentenza del Tribunale penale federale RR.2007.36 del 7 maggio 2007 consid. 1 con rinvii).</w:t>
      </w:r>
    </w:p>
    <w:p>
      <w:r>
        <w:rPr>
          <w:b/>
        </w:rPr>
        <w:t>E. 3.2</w:t>
      </w:r>
    </w:p>
    <w:p>
      <w:r>
        <w:t>In concreto, premesso che non tocca al giudice dell’assistenza approfondire i fatti descritti in rogatoria tantomeno statuire sulle accuse formulate dall’autorità rogante nei confronti degli indagati, si rileva che le operazioni descritte nel com- plemento rogatoriale del 18 maggio 2020 (v. supra consid. 2.2) possono essere sussunte ai reati di appropriazione indebita (art. 138 CP) e/o amministrazione infedele (art. 158 CP), per cui la condizione della doppia punibilità è ossequiata. Contrariamente a quanto sostenuto nel ricorso le distrazioni ipotizzate dall’au- torità rogante non rappresentano una forma di “gestione di patrimoni di terzi in perfetto ossequio delle disposizioni contrattuali e legali applicabili” (act. 1, pag. 10), ma malversazioni in chiaro contrasto con gli obblighi di corretta ammi- nistrazione dei patrimoni in questione, con ipotesi di danno molto consistenti, che spetterà al giudice estero del merito valutare nel dettaglio. Anche questa censura va pertanto respinta.</w:t>
      </w:r>
    </w:p>
    <w:p>
      <w:r>
        <w:rPr>
          <w:b/>
        </w:rPr>
        <w:t>E. 4</w:t>
      </w:r>
    </w:p>
    <w:p>
      <w:r>
        <w:t>La ricorrente sostiene che i valori sequestrati non sono la conseguenza diretta di alcun reato. A suo dire, il mantenimento del sequestro litigioso risulta inutile e manifestamente sproporzionato, quindi incompatibile con il requisito dell’utilità potenziale che disciplina l’esame della legittimità di tali misure coercitive. Esso non solo impedirebbe la liquidazione e la restituzione dei fondi alla loro benefi- ciaria economica, ma rischierebbe di causare danni ingenti sia alla ricorrente che alla stessa Segreteria di Stato.</w:t>
      </w:r>
    </w:p>
    <w:p>
      <w:r>
        <w:rPr>
          <w:b/>
        </w:rPr>
        <w:t>E. 4.1.1</w:t>
      </w:r>
    </w:p>
    <w:p>
      <w:r>
        <w:t>Il principio della proporzionalità esige che vi sia una connessione fra la docu- mentazione richiesta e il procedimento estero (DTF 139 II 404 consid. 7.2.2;</w:t>
      </w:r>
    </w:p>
    <w:p>
      <w:r>
        <w:t>- 9 -</w:t>
      </w:r>
    </w:p>
    <w:p>
      <w:r>
        <w:t>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bancaria,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 sere informato di tutte le transazioni effettuate attraverso i conti coinvolti. L’au- torità richiedente ha un interesse ad essere informata di qualsiasi transazione che possa far parte del meccanismo delittuoso messo in atto dalle persone sotto inchiesta (sentenza del Tribunale penale federale RR.2014.4 del 30 luglio 2014 consid. 2.2.2). Naturalmente è anche possibile che i conti in questione non siano stati utilizzati per ricevere proventi di reato o per effettuare trasferimenti illeciti o riciclare fondi,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 sentenza del Tribunale penale federale RR.2011.113 del 28 luglio 2011 con- sid. 4.2), con evidente intralcio alle esigenze di celerità (v. anche art. 17a cpv. 1</w:t>
      </w:r>
    </w:p>
    <w:p>
      <w:r>
        <w:t>- 10 -</w:t>
      </w:r>
    </w:p>
    <w:p>
      <w:r>
        <w:t>AIMP). In base alla giurisprudenza, l'esame da parte delle autorità di esecu- zione e del giudice dell'assistenza va limitato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w:t>
      </w:r>
    </w:p>
    <w:p>
      <w:r>
        <w:rPr>
          <w:b/>
        </w:rPr>
        <w:t>E. 4.1.2</w:t>
      </w:r>
    </w:p>
    <w:p>
      <w:r>
        <w:t>In concreto, occorre innanzitutto ribadire che la ricorrente, in data 16 luglio 2020, ha acconsentito alla trasmissione semplificata all’autorità rogante di tutta la documentazione bancaria relativa al suo conto (v. act. 1.1, pag. 4), senza contestare quindi né la proporzionalità della misura né l’utilità potenziale della documentazione. Essa ha certo affermato di aver proceduto in tal modo al fine di fornire “al MPC tutti gli elementi a riprova dell’assurdità dell’ipotesi di reato invocata dall’Autorità rogante” (v. act. 1, pag. 10). Tuttavia, il fatto che E., inda- gato nel procedimento estero, abbia gestito per svariati anni la società ricorrente per investire denaro della Santa Sede, permette senz’altro di concludere che l’utilità potenziale della documentazione in questione è certamente data. Il MPC ha del resto messo in evidenza svariate operazioni avvenute sul conto litigioso (accrediti e addebiti di somme molto importanti indubbiamente compatibili con le ipotesi investigative; v. act. 1.1, pag. 6 e seg.) che meritano degli approfon- dimenti da parte degli inquirenti esteri.</w:t>
      </w:r>
    </w:p>
    <w:p>
      <w:r>
        <w:rPr>
          <w:b/>
        </w:rPr>
        <w:t>E. 4.2.1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4.2.2</w:t>
      </w:r>
    </w:p>
    <w:p>
      <w:r>
        <w:t>Ebbene, visto quanto esposto in precedenza (v. supra consid. 2.2 e 4.1.2) non- ché il danno globale di non meno di EUR 300 milioni indicato dall’autorità ro- gante, importo decisamente superiore ai valori qui sequestrati, è senz'altro pos- sibile concludere che esistono elementi sufficienti per confermare il sequestro della relazione intestata alla ricorrente. Il potenziale nesso fra il denaro seque- strato e i reati contestati a E. è dato: toccherà poi all'autorità estera accertare se il denaro in questione è effettivamente di origine illecita. In caso affermativo, esso potrebbe fare l'oggetto di una decisione di confisca o di restituzione all'a- vente diritto nello Stato richiedente (v. art. 74a cpv. 1 e 2 AIMP nonché DTF 123 II 134 consid. 5c; 123 II 268 consid. 4; 123 II 595 consid. 3). In definitiva, il</w:t>
      </w:r>
    </w:p>
    <w:p>
      <w:r>
        <w:t>- 11 -</w:t>
      </w:r>
    </w:p>
    <w:p>
      <w:r>
        <w:t>sequestro litigioso deve essere mantenuto di principio sino alla notifica di una decisione definitiva ed esecutiva dello Stato richiedente o fintanto che quest'ul- timo non abbia comunicato che una tale decisione non può più essere pronun- ciata (art. 74a cpv. 3 AIMP e 33a OAIMP; TPF 2007 124 consid. 8 e rinvii), ferma restando la necessità che la procedura all'estero avanzi (DTF 126 II 462 consid. 5e). La ricorrente non ha peraltro sostanziato nessuno sproporzionato pregiudizio economico cagionato dal sequestro, limitandosi ad affermare in ma- niera del tutto generica che i fondi in questione “restando congelati, rischiano per ovvie ragioni e con ogni evidenza di causare ingenti perdite, svalutazioni, e ingenti danni economici a tutte le parti coinvolte” (v. act. 1, pag. 12), per cui anche da questo punto di vista la misura in questione non presenta sostanziali criticità. Il MPC ha del resto proceduto, previo assenso dell’autorità rogante, a svariati sblocchi parziali della relazione finalizzati a garantire la continuazione dell’attività della ricorrente (v. act. 11, pag. 9), fatto riconosciuto dalla ricorrente stessa (v. act. 13, pag. 7). Ne consegue che il sequestro va confermato e la relativa censura respinta.</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7'000.–, a carico della ricorrente; essa è coperta dall'anticipo delle spese del medesimo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