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RR.2020.288 vom 15. Januar 2021</w:t>
      </w:r>
    </w:p>
    <w:p>
      <w:r>
        <w:t>Bundesstrafgericht, 2021-01-15, IT</w:t>
      </w:r>
    </w:p>
    <w:p>
      <w:r>
        <w:rPr>
          <w:b/>
        </w:rPr>
        <w:t xml:space="preserve">Quelle: </w:t>
      </w:r>
      <w:r>
        <w:t>https://mcp.opencaselaw.ch/entscheid/bstger_RR.2020.288</w:t>
      </w:r>
    </w:p>
    <w:p>
      <w:r>
        <w:t>FR: TPF RR.2020.288 du 15 janvier 2021</w:t>
      </w:r>
    </w:p>
    <w:p>
      <w:r>
        <w:t>IT: TPF RR.2020.288 del 15 gennaio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w:t>
      </w:r>
    </w:p>
    <w:p>
      <w:r>
        <w:t>- 4 -</w:t>
      </w:r>
    </w:p>
    <w:p>
      <w:r>
        <w:t>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La ricorrente è contitolare, unitamente a H., della relazione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La ricorrente sostiene innanzitutto che la domanda di assistenza, con il suo complemento, sarebbe inammissibile, giacché manifestamente generica, lacu- nosa e contraria al principio della fiducia. Per una migliore comprensione dell’importante attività immobiliare svolta, del suo ruolo nonché dei suoi rapporti con B., ella ha prodotto una sentenza del 10 maggio 2016, divenuta definitiva, con la quale il Tribunale di Malaga, statuendo in appello nell’ambito di un pro- cedimento penale a carico principalmente del predetto e della ricorrente per un presunto reato di frode fiscale, avrebbe assolto entrambi. L’autorità rogante avrebbe intenzionalmente sottaciuto alle autorità svizzere l’esistenza di tale sentenza, come non avrebbe fatto parola di un’ordinanza del 30 novembre 2018, confermata dalla Corte di cassazione penale in data 7 febbraio 2019, con</w:t>
      </w:r>
    </w:p>
    <w:p>
      <w:r>
        <w:t>- 5 -</w:t>
      </w:r>
    </w:p>
    <w:p>
      <w:r>
        <w:t>la quale il Tribunale ordinario di Asti ha accolto un ricorso presentato da B. con- tro un sequestro del 29 ottobre 2018 pronunciato dal Giudice per le indagini preliminari (in seguito: GIP) di Asti. Per tacere del fatto che in data 15 gennaio 2020 la Procura di Asti avrebbe chiesto l’archiviazione del procedimento penale a carico di B. e altri, la quale sarebbe stata decretata dal GIP in data 19 febbraio 2020, tutte informazioni non contenute nella rogatoria.</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In concreto, oltre a quanto già precedentemente esposto (v. supra Fatti lett. A), derivante dalla rogatoria del 3 maggio 2019, l’autorità estera, con complemento del 3 marzo 2020, concernente certo un nuovo procedimento penale (n. 4112/2019 rgnr) aperto a carico di B., C., D. e E. per riciclaggio di denaro, ma costituente in realtà il prosieguo delle indagini oggetto del precedente pro- cedimento penale (n. 2651/2017 rgnr), ha dichiarato che, data la complessità e la dimensione transnazionale delle indagini da svolgersi anche in Italia e Spa- gna – quest’ultimo Paese centro primario di affari e di accumulo di ingenti ri- sorse finanziarie apparentemente prive di legittima giustificazione da parte di B. –, il 7 marzo 2019 l’autorità italiana e la Fiscalìa contra la Corrupcìon y la Cri- minalidad Organizada di Madrid hanno costituito, con l’assistenza di Eurojust, una squadra investigativa comune. Il 18 febbraio 2020, le autorità spagnole hanno perquisito numerose abitazioni e sedi di società nella provincia di Ma- laga, procedendo al sequestro di materiale e valori nell’ambito del procedimento nrg 64/19 a carico di B., C. e altre 15 persone, tra cui la cittadina svizzera A., tutti indagati per i reati di organiziacìon criminal, blanqueo de capitales, trafico de influencias y cohecho y delitos contra l’hacienda publica. Il 29 ottobre 2019,</w:t>
      </w:r>
    </w:p>
    <w:p>
      <w:r>
        <w:t>- 6 -</w:t>
      </w:r>
    </w:p>
    <w:p>
      <w:r>
        <w:t>D. – indagato insieme a B. e C. nell’ambito del procedimento n. 2651/2017 non- ché già convivente di C. – ha dichiarato alle autorità italiane che, allorché ospite in Spagna di B., quest’ultimo, unitamente alla ricorrente, avrebbe consegnato somme importanti a I., il quale avrebbe provveduto a nascondere fino a un mi- lione/un milione e mezzo di euro alla volta in uno scomparto segreto della pro- pria autovettura per recarsi poi in Svizzera e versare il denaro su conti correnti nella disponibilità della coppia B.-A. Ora, se è vero che il procedimento n. 2651/2017 è sfociato inizialmente in un decreto di archiviazione, occorre pari- menti rilevare che tale procedimento è stato riaperto il 12 marzo 2020 in seguito ai nuovi elementi giunti dalla Spagna (v. scritto della Procura di Asti del 27 luglio 2020, in rubrica 3 incarto MPC). Più precisamente, il 18 febbraio 2020, la Fisca- lia especial contra la criminalidad organizada y la corrupcion ha proceduto in Spagna, nell’operazione denominata Tenor, a svariate perquisizioni, sequestri e fermi nell’ambito di un procedimento aperto a carico di varie persone, tra le quali B. e A.: il primo indagato per riciclaggio, associazione a delinquere, traffico di influenze, corruzione e altri reati fiscali e la seconda per riciclaggio e asso- ciazione a delinquere (v. ibidem, pag. 1). L’autorità rogante ha affermato che il procedimento n. 2651/17 è pendente dal 2006 a carico di B., C., D. e E. per il delitto di riciclaggio (art. 648-bis CP/I), mentre il procedimento n. 4112/19 è pen- dente dal 2019 a carico di B. e C. per il reato di autoriciclaggio (art. 648-ter CP/I). Essa ha inoltre informato le autorità elvetiche dell’esistenza di una sen- tenza definitiva n. 508/2015 del 27 luglio 2015, con la quale il Tribunal Supremo di Madrid ha condannato B. a 8 mesi di reclusione e EUR 150'000.– di multa per il delitto di corruzione di pubblici amministratori, legato all’indebito otteni- mento di favorevoli provvedimenti urbanistici (v. ibidem, pag. 2). Le autorità ita- liane hanno aggiunto che dalle indagini condotte dalla squadra investigativa co- mune italo-spagnola, risulta che B. e A. abbiano in Spagna, da almeno la metà degli anni Novanta, interessi in comune legati, tra l’altro, alla gestione delle so- cietà J. SL, K. SA, L. SL, M. SL, N. SL, O. SL, P. SL, Q. SL, R. SL, S. SL, T. SL e AA. SL. Le società L. SL e O. SL compaiono nel procedimento sfociato nella sentenza n. 508/2015 del 27 luglio 2015. Nell’ambito della squadra investigativa comune, la Guardia di Finanza di Cuneo ha richiesto informazioni su processi penali e sentenze di condanna anche a carico di A. alla Policia Nacional, la quale non aveva ancora dato riscontro (v. ibidem). Con scritto del 19 ottobre 2020, la Procura di Asti, ad integrazione del suo scritto del 27 luglio 2020, ha inoltrato all’autorità d’esecuzione due documenti destinati a far meglio compren- dere i rapporti tra B. e A. Il primo concerne un provvedimento del Juzgado de Instruction del 10 febbraio 2020 riguardante, tra gli altri, gli indagati B. e A. e le misure istruttorie (sequestri di beni e conti bancari) intraprese nell’ambito dell’operazione BB. Il secondo riguarda un bonifico di EUR 1'910'460.42 del 24 febbraio 2015 disposto da CC. SL a favore della ricorrente. B. è stato ammini- stratore di tale società dal 2003 al 2008, mentre la ricorrente ne è stata procu- ratrice speciale dal 2003 al 2014. La società è attualmente in liquidazione, a</w:t>
      </w:r>
    </w:p>
    <w:p>
      <w:r>
        <w:t>- 7 -</w:t>
      </w:r>
    </w:p>
    <w:p>
      <w:r>
        <w:t>cura di DD. prima e di EE. poi, ambedue indagate nell’ambito dell’operazione BB. (v. rubrica 3 incarto MPC nonché act. 6, pag. 3 e seg.).</w:t>
      </w:r>
    </w:p>
    <w:p>
      <w:r>
        <w:t>Quanto precede soddisfa le esigenze normative e giurisprudenziali poste in ma- teria di esposto dei fatti, risultando peraltro chiara, contrariamente a quanto as- serito nella replica, la qualifica giuridica dei reati alla base della rogatoria. Gli scritti dell’autorità rogante del 27 luglio e 19 ottobre 2020, susseguenti a una richiesta d’informazioni complementari del MPC del 1° luglio 2020 (v. rubrica 3 incarto MPC), hanno in particolare permesso di stabilire come a carico di B. e della ricorrente vi siano tuttora indagini in corso e che gli atti giudiziari invocati da quest’ultima, di cui l’autorità d’esecuzione sarebbe stata tenuta all’oscuro, sono ormai superati dalle nuove indagini. In sede di replica, la ricorrente afferma di essere venuta a conoscenza della summenzionata richiesta d’informazioni complementari del 1° luglio 2020 e della relativa risposta del 27 luglio 2020 solo mediante la risposta del MPC del 13 novembre 2020 (v. act. 6). A tal proposito si rileva che, nella misura in cui l’insorgente ha potuto visionare tali documenti e prendere posizione sul loro contenuto in sede di replica, l’eventuale violazione del suo diritto di essere sentita risulterebbe comunque sanata dinanzi a questa Corte (v. sentenza del Tribunale penale federale RR.2020.182 del 15 ottobre 2020 consid. 2.1 con rinvii). Non spetta del resto al giudice dell’assistenza ap- profondire ulteriormente la fattispecie oggetto d’inchiesta, tantomeno ottenere le prove dei contestati reati. Sarà proprio la documentazione litigiosa a permet- tere all’autorità estera di progredire nella sua attività investigativa e di acclarare ulteriormente le condotte mosse a carico dei soggetti indagati. Le censure vanno dunque respinte.</w:t>
      </w:r>
    </w:p>
    <w:p>
      <w:r>
        <w:rPr>
          <w:b/>
        </w:rPr>
        <w:t>E. 3</w:t>
      </w:r>
    </w:p>
    <w:p>
      <w:r>
        <w:t>L’insorgente sostiene che il nuovo procedimento aperto nel settembre 2019 dalla Procura di Asti nei confronti di B. e C. per i reati di autoriciclaggio sarebbe stato avviato quando era ancora pendente il procedimento, per i medesimi fatti, concernente il reato di riciclaggio. Ne conseguirebbe che ogni atto di istruzione dell’autorità inquirente astigiana eseguito dopo l’archiviazione del procedimento del 19 febbraio 2020 sarebbe da ritenersi illegittimo, per cui dovrebbero ritenersi inutilizzabili gli atti assunti dopo la scadenza del termine. La ricorrente aggiunge inoltre che la decisione impugnata sarebbe da annullare, data la mancanza di una valida e fondata decisione di entrata in materia di assistenza limitatamente al reato di autoriciclaggio ai sensi dell’art. 648-ter CP/I.</w:t>
      </w:r>
    </w:p>
    <w:p>
      <w:r>
        <w:t>Questa Corte rileva innanzitutto che, riservato l’art. 2 AIMP qui comunque non invocato, non spetta al giudice dell’assistenza approfondire questioni di diritto processuale estero. Secondariamente, avendo le autorità italiane semplice- mente riaperto, prendendo in considerazione anche il reato di autoriciclaggio, le indagini già oggetto di archiviazione, è da respingere la censura concernente</w:t>
      </w:r>
    </w:p>
    <w:p>
      <w:r>
        <w:t>- 8 -</w:t>
      </w:r>
    </w:p>
    <w:p>
      <w:r>
        <w:t>l’asserita assenza di una decisione di entrata in materia, la quale è stata valida- mente emanata dal MPC in data 12 luglio 2019 (v. supra Fatti lett. B e C).</w:t>
      </w:r>
    </w:p>
    <w:p>
      <w:r>
        <w:rPr>
          <w:b/>
        </w:rPr>
        <w:t>E. 4</w:t>
      </w:r>
    </w:p>
    <w:p>
      <w:r>
        <w:t>La ricorrente censura infine la violazione del principio della proporzionalità, nella misura in cui la rogatoria non permetterebbe di evidenziare nessun legame tra le presunte operazioni illecite in Italia e la relazione bancaria litigiosa. A suo dire, le informazioni riferite a tale relazione non sarebbero assolutamente ido- nee a far progredire le indagini estere, avendo l’autorità italiana già acquisito per via rogatoriale tutte le informazioni relative ai conti intestati all’imputato B.. La documentazione bancaria litigiosa mancherebbe di qualsiasi utilità poten- ziale per l’accertamento del reato di autoriciclaggio. La rogatoria costituirebbe, a suo dire, una generalizzata ricerca esplorativa e indiscriminata di prove.</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w:t>
      </w:r>
    </w:p>
    <w:p>
      <w:r>
        <w:t>- 9 -</w:t>
      </w:r>
    </w:p>
    <w:p>
      <w:r>
        <w:t>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La coopération judiciaire internationale en matière pénale, 5a ediz. 2019, n. 722, pag. 798 e seg.). Vietata è per contro la cosiddetta fishing expedition, la quale è definita dalla giurisprudenza una ricerca generale e indeterminata di mezzi di prova volta a fondare un sospetto senza che esistano pregressi ele- 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Nella fattispecie, l'utilità potenziale della documentazione litigiosa è certamente data, già solo per il fatto che la ricorrente, contitolare, unitamente a H., della</w:t>
      </w:r>
    </w:p>
    <w:p>
      <w:r>
        <w:t>- 10 -</w:t>
      </w:r>
    </w:p>
    <w:p>
      <w:r>
        <w:t>relazione in questione, è indagata in Spagna per organizzazione criminale, rici- claggio e altri reati strettamente legati a quelli sotto indagine in Italia. Per tacere del fatto che il MPC, nella decisione impugnata, ha menzionato l’esistenza di diverse operazioni sospette avvenute sulla relazione litigiosa collegate con conti riconducibili a persone coinvolte nelle indagini estere, segnatamente un accre- dito del 24 agosto 2009 di fr. 750'000.– proveniente da una relazione bancaria della ricorrente presso la Banca FF. SA di Lugano nonché un accredito di fr. 1'000'000.– intervenuto in data 25 agosto 2009, proveniente da una relazione bancaria appartenente a B. presso la Banca GG. SA di Ginevra. Il fatto che l’autorità rogante sarebbe già in possesso di documentazione concernente re- lazioni bancarie riconducibili a B. nulla muta a quanto precede.</w:t>
      </w:r>
    </w:p>
    <w:p>
      <w:r>
        <w:t>Spetterà comunque al giudice estero del merito chinarsi sulle contestazioni dei fatti e/o reati formulate dalla ricorrente nonché valutare se dalla documenta- zione inoltrata emerge in concreto una connessione penalmente rilevante fra i fatti oggetto della procedura penale in Italia e detta documentazione. Alla luce della domanda rogatoriale e del suo complemento risulta che tutta la documen- tazione litigiosa è potenzialmente utile per l’inchiesta, motivo per cui la sua tra- smissione rispetta il principio della proporzionalità e non costituisce una ricerca esplorativa e indiscriminata di prove.</w:t>
      </w:r>
    </w:p>
    <w:p>
      <w:r>
        <w:rPr>
          <w:b/>
        </w:rPr>
        <w:t>E. 5</w:t>
      </w:r>
    </w:p>
    <w:p>
      <w:r>
        <w:t>In sede di replica, l’insorgente ha contestato l’adempimento del requisito della doppia punibilità, nella misura in cui i valori patrimoniali indicati nelle due roga- torie sarebbero stati accreditati su conti personali intestati allo stesso B. o alla di lui figlia C. Non essendovi stata un’interruzione del paper trail atta a vanificare la confisca da parte dell’autorità italiana, i fatti descritti in rogatoria non adempi- rebbero la fattispecie di cui all’art. 305bis CP.</w:t>
      </w:r>
    </w:p>
    <w:p>
      <w:r>
        <w:t>- 11 -</w:t>
      </w:r>
    </w:p>
    <w:p>
      <w:r>
        <w:t>Così facendo la ricorrente non contesta la doppia punibilità in senso stretto ma le risultanze processuali dell’inchiesta estera. Ora, premesso e ribadito che non tocca al giudice dell’assistenza approfondire i fatti oggetto dell’inchiesta estera né statuire nel merito del procedimento italiano (v. supra consid. 2.2), tale cen- sura, presentata solo in sede di replica, risulta tardiva. Non essendo decisiva per la risoluzione del presente litigio, essa è da considerarsi inammissibile (v. art. 32 cpv. 2 PA).</w:t>
      </w:r>
    </w:p>
    <w:p>
      <w:r>
        <w:rPr>
          <w:b/>
        </w:rPr>
        <w:t>E. 6</w:t>
      </w:r>
    </w:p>
    <w:p>
      <w:r>
        <w:t>Visto quanto precede, la decisione di chiusura del 21 settembre 2020 va con- fermata e il gravame integralmente respinto, nella misura della sua ammissibi- lità.</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