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RR.2020.245A vom 19. August 2022</w:t>
      </w:r>
    </w:p>
    <w:p>
      <w:r>
        <w:t>Bundesstrafgericht, 2022-08-19, DE</w:t>
      </w:r>
    </w:p>
    <w:p>
      <w:r>
        <w:rPr>
          <w:b/>
        </w:rPr>
        <w:t xml:space="preserve">Quelle: </w:t>
      </w:r>
      <w:r>
        <w:t>https://mcp.opencaselaw.ch/entscheid/bstger_RR.2020.245A</w:t>
      </w:r>
    </w:p>
    <w:p>
      <w:r>
        <w:t>FR: TPF RR.2020.245A du 19 août 2022</w:t>
      </w:r>
    </w:p>
    <w:p>
      <w:r>
        <w:t>IT: TPF RR.2020.245A del 19 agosto 2022</w:t>
      </w:r>
    </w:p>
    <w:p>
      <w:pPr>
        <w:pStyle w:val="Heading2"/>
      </w:pPr>
      <w:r>
        <w:t>Regeste</w:t>
      </w:r>
    </w:p>
    <w:p>
      <w:r>
        <w:t>Internationale Rechtshilfe in Strafsachen an Belgien; Herausgabe zur Einziehung (Art. 74a IRSG)</w:t>
      </w:r>
    </w:p>
    <w:p>
      <w:pPr>
        <w:pStyle w:val="Heading2"/>
      </w:pPr>
      <w:r>
        <w:t>Erwägungen</w:t>
      </w:r>
    </w:p>
    <w:p>
      <w:r>
        <w:rPr>
          <w:b/>
        </w:rPr>
        <w:t>E. 22</w:t>
      </w:r>
    </w:p>
    <w:p>
      <w:r>
        <w:t>September 2000, S. 19–62) zur Anwendung gelangen (TPF 2009 111 E. 1.2 S. 113); diese Abkommen in concreto durch das Übereinkommen vom 8. November 1990 über Geldwäscherei sowie Ermittlung, Beschlagnahme und Einziehung von Erträgen aus Straftaten (GwUe; SR 0.311.53) ergänzt werden;</w:t>
      </w:r>
    </w:p>
    <w:p>
      <w:r>
        <w:t>- soweit diese Staatsverträge bestimmte Fragen weder ausdrücklich noch still- schweigend regeln, bzw. das schweizerische Landesrecht geringere Anfor- derungen an die Rechtshilfe stellt (sog. Günstigkeitsprinzip; BGE 142 IV 250 E. 3; 140 IV 123 E. 2; 136 IV 82 E. 3.1; 135 IV 212 E. 2.3), das Bundesgesetz vom 20. März 1981 über internationale Rechtshilfe in Strafsachen (IRSG; SR 351.1) und die dazugehörige Verordnung vom 24. Februar 1982 (IRSV; SR 351.11) anwendbar sind (Art. 1 Abs. 1 IRSG; BGE 143 IV 91 E. 1.3; 136 IV 82 E. 3.2; 130 II 337 E. 1; vgl. auch Art. 54 StPO); die Wahrung der Menschenrechte vorbehalten bleibt (BGE 139 II 65 E. 5.4 letzter Absatz; 135 IV 212 E. 2.3; 123 II 595 E. 7c);</w:t>
      </w:r>
    </w:p>
    <w:p>
      <w:r>
        <w:t>- auf das vorliegende Beschwerdeverfahren zudem die Bestimmungen des Bundesgesetzes vom 20. Dezember 1968 über das Verwaltungsverfahren (Verwaltungsverfahrensgesetz, VwVG; SR 172.021; Art. 39 Abs. 2 lit. b i.V.m. Art. 37 Abs. 2 lit. a des Bundesgesetzes vom 19. März 2010 über die Organisation der Strafbehörden des Bundes [Strafbehördenorganisationsge- setz, StBOG; SR 173.71]) anwendbar sind;</w:t>
      </w:r>
    </w:p>
    <w:p>
      <w:r>
        <w:t>- 6 -</w:t>
      </w:r>
    </w:p>
    <w:p>
      <w:r>
        <w:t>- mit dem vorliegenden Teilentscheid einzig über den Antrag der Beschwer- deführerin, es sei vorab festzustellen, dass die angefochtene Schlussverfü- gung einzig die Beträge von CHF 3'311'858.-- und CHF 1'605'163.-- betreffe, und es sei die Staatsanwaltschaft anzuweisen, einen allfällig sichergestellten Restbetrag des Kontos Stamm-Nr. 1 lautend auf die A. Inc. umgehend frei- zugeben und die am 14. März 2011 angeordnete und am 26. März 2012 auf- rechterhaltene Beschlagnahme sei diesbezüglich umgehend aufzuheben, zu entscheiden ist;</w:t>
      </w:r>
    </w:p>
    <w:p>
      <w:r>
        <w:t>- ein Feststellungsbegehren zum Leistungsbegehren subsidiär ist;</w:t>
      </w:r>
    </w:p>
    <w:p>
      <w:r>
        <w:t>- die Beschwerdeführerin nebst dem Feststellungsbegehren auch das Begeh- ren um Freigabe des den Gesamtbetrag von CHF 4'917'021.-- übersteigen- den Restbetrags sowie um diesbezügliche Aufhebung der Beschlagnahme, mithin ein Leistungsbegehren stellt;</w:t>
      </w:r>
    </w:p>
    <w:p>
      <w:r>
        <w:t>- ein genügendes Feststellungsinteresse somit entfällt und auf das diesbezüg- liche Feststellungsbegehren nicht einzutreten ist;</w:t>
      </w:r>
    </w:p>
    <w:p>
      <w:r>
        <w:t>- die Beschwerdegegnerin ausdrücklich anerkennt, dass eine Aufrechterhal- tung der Beschlagnahme soweit damit der Gesamtbetrag von CHF 4'917'021.-- überschritten wird, nicht nötig ist und sie mit der Schluss- verfügung vom 24. August 2020 dem Ersuchen der belgischen Strafbehör- den vollumfänglich nachgekommen sei;</w:t>
      </w:r>
    </w:p>
    <w:p>
      <w:r>
        <w:t>- für die Aufrechterhaltung des den Gesamtbetrag von CHF 4'917'021.-- über- steigenden Anteils somit keine Rechtsgrundlage besteht;</w:t>
      </w:r>
    </w:p>
    <w:p>
      <w:r>
        <w:t>- damit der den Gesamtbetrag von CHF 4'917'021.-- übersteigende Anteil frei- zugeben ist, weshalb die Beschwerdegegnerin nach Eintritt der Rechtskraft des vorliegenden Entscheides die Bank C. anzuweisen haben wird, die am 14. März 2011 und 26. März 2012 angeordneten Kontosperren vollständig aufzuheben, sofern vorgängig von den beschlagnahmten Vermögenswerten in GBP ein CHF 4'917'021.-- entsprechender Teil von GBP in CHF gewech- selt und auf das in der Schlussverfügung genannte Konto der Staatsanwalt- schaft I-III überwiesen worden ist;</w:t>
      </w:r>
    </w:p>
    <w:p>
      <w:r>
        <w:t>- der Betrag von CHF 4'971'021.-- bis zum rechtskräftigen Entscheid im Teil- verfahren RR.2020.245 gesperrt bleibt;</w:t>
      </w:r>
    </w:p>
    <w:p>
      <w:r>
        <w:t>- über die Kosten- und Entschädigungsfolgen des vorliegenden Teilverfahrens RR.2020.245a im Teilverfahren RR.2020.245 zu entscheiden 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