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RR.2020.238 vom 28. Oktober 2020</w:t>
      </w:r>
    </w:p>
    <w:p>
      <w:r>
        <w:t>Bundesstrafgericht, 2020-10-28, DE</w:t>
      </w:r>
    </w:p>
    <w:p>
      <w:r>
        <w:rPr>
          <w:b/>
        </w:rPr>
        <w:t xml:space="preserve">Quelle: </w:t>
      </w:r>
      <w:r>
        <w:t>https://mcp.opencaselaw.ch/entscheid/bstger_RR.2020.238</w:t>
      </w:r>
    </w:p>
    <w:p>
      <w:r>
        <w:t>FR: TPF RR.2020.238 du 28 octobre 2020</w:t>
      </w:r>
    </w:p>
    <w:p>
      <w:r>
        <w:t>IT: TPF RR.2020.238 del 28 ottobre 2020</w:t>
      </w:r>
    </w:p>
    <w:p>
      <w:pPr>
        <w:pStyle w:val="Heading2"/>
      </w:pPr>
      <w:r>
        <w:t>Regeste</w:t>
      </w:r>
    </w:p>
    <w:p>
      <w:r>
        <w:t>Entsiegelung im internationalen Amtshilfeverfahren (Art. 15 BBA i.V.m. Art. 115e Abs. 2 ZG, Art. 50 Abs. 3 VStrR).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Februar 2020); - unter den vorliegenden Umständen keine Gerichtskosten zu erheben sind (vgl. Art. 25 Abs. 4 VStrR i.V.m. Art. 66 Abs. 2 BGG analog [vgl. hierzu TPF 2011 25 E. 3]); - der in ihrem amtlichen Wirkungskreis handelnden Gesuchstellerin keine Par- teientschädigung zuzusprechen ist (vgl. Art. 68 Abs. 3 BGG analog);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