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RR.2020.227 vom 14. Dezember 2020</w:t>
      </w:r>
    </w:p>
    <w:p>
      <w:r>
        <w:t>Bundesstrafgericht, 2020-12-14, IT</w:t>
      </w:r>
    </w:p>
    <w:p>
      <w:r>
        <w:rPr>
          <w:b/>
        </w:rPr>
        <w:t xml:space="preserve">Quelle: </w:t>
      </w:r>
      <w:r>
        <w:t>https://mcp.opencaselaw.ch/entscheid/bstger_RR.2020.227</w:t>
      </w:r>
    </w:p>
    <w:p>
      <w:r>
        <w:t>FR: TPF RR.2020.227 du 14 décembre 2020</w:t>
      </w:r>
    </w:p>
    <w:p>
      <w:r>
        <w:t>IT: TPF RR.2020.227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t>- 4 -</w:t>
      </w:r>
    </w:p>
    <w:p>
      <w:r>
        <w:rPr>
          <w:b/>
        </w:rPr>
        <w:t>E. 1.4</w:t>
      </w:r>
    </w:p>
    <w:p>
      <w:r>
        <w:t>Interposto tempestivamente contro la sopraccitata decisione di chiusura, il ri- corso del 9 settembre 2020 è ricevibile sotto il profilo degli art. 25 cpv. 1, 80e cpv. 1 e 80k AIMP. Intestataria della relazione oggetto della decisione impu- gnata, A. Limited è legittimata a ricorrere (v. art. 80h lett. b AIMP e art. 9a lett. a OAIMP nonché DTF 137 IV 134 consid. 5.2.1; 130 II 162 consid. 1.1; 128 II 211 consid. 2.3; TPF 2007 79 consid. 1.6 pag. 82).</w:t>
      </w:r>
    </w:p>
    <w:p>
      <w:r>
        <w:t>Per quanto riguarda C., questa Corte prende atto del ritiro del suo gravame. La causa RR.2020.228 va pertanto stralciata dal ruolo.</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H., comparto della Fund I. riferibile al finanziere C. 2. Acquisto dell’intera proprietà dell’immobile sito a Londra, di cui era pro- prietaria solo al 45%, per mezzo della società J. SA di C. 3. Estromissione di C. dall’investimento mediante un pagamento di 15 milioni di Euro e passaggio di proprietà dell’immobile alla società K. SA, newco interamente posseduta dalla Segreteria di Stato. Tali operazioni, effettuate con la consulenza del gestore</w:t>
      </w:r>
    </w:p>
    <w:p>
      <w:r>
        <w:t>- 5 -</w:t>
      </w:r>
    </w:p>
    <w:p>
      <w:r>
        <w:t>patrimoniale di fiducia della Segreteria di Stato, F.,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L. (Capo Ufficio), E. (funzionario) e M. (funzionario). Si evidenzia come l’investimento nel fondo H. origina da due fi- nanziamenti erogati dalle banche N. e O., entrambi gestiti da F., per un totale di 200,5 milioni di USD. Alla data del 30-9-2019 tali finanziamenti risultavano ancora in essere per un importo pari a 172 milioni di Euro presso la banca N.,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N. per oltre 450 milioni di Euro e concesse in pegno alla banca, la Se- greteria di Stato abbia fatto ricorso ad un finanziamento” (act. 11.1, pag. 2 e seg.). Dopo aver fornito i dettagli delle tre fasi sopraelencate (v. 11.1, pag. 2 e segg.), l’autorità rogante afferma che “allo stato delle indagini i danni arrecati al patrimonio della Segreteria di Stato per effetto delle condotte distrattive sopra descritte, risultano di importo ingente (attualmente quantificabili in non meno di 300 milioni di euro)” (act. 11.1,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w:t>
      </w:r>
    </w:p>
    <w:p>
      <w:r>
        <w:t>- 6 -</w:t>
      </w:r>
    </w:p>
    <w:p>
      <w:r>
        <w:t>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w:t>
      </w:r>
    </w:p>
    <w:p>
      <w:r>
        <w:t>- 7 -</w:t>
      </w:r>
    </w:p>
    <w:p>
      <w:r>
        <w:t>(DTF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w:t>
      </w:r>
    </w:p>
    <w:p>
      <w:r>
        <w:t>- 8 -</w:t>
      </w:r>
    </w:p>
    <w:p>
      <w:r>
        <w:t>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 5a ediz. 2019, n. 722, pag. 798 e seg.). Vietata in particolare è la cosiddetta fishing expedition, la quale è definita dalla giurisprudenza una ricerca generale 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C., settlor e beneficiario del trust, è indagato nel proce- dimento estero per reati patrimoniali. L’autorità rogante ha affermato ch’egli è la persona che, attraverso le sue diverse società, ha tratto il maggior vantaggio dall’operazione di Londra (v. act. 11.1,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C. per mezzo delle sue società”, ossia “commissioni di gestione relative al Fondo H. (2013-2018): 16 milioni di Euro pari al 2% annuo, incassati da P. Sarl; commissioni per il contratto di Advisory Investment relative al mutuo Q. incassate dalla società R. Limited; c.a. 2 milioni di Euro come Investment Advisor richiesto dal finan- ziatore Q. per l’erogazione del prestito di 128 mln/GBP; morosità per canoni di locazione non pagati nell’immobile a Londra; c.a. 243 mila Euro non pagati da società della moglie di C., S. (ditta T.) dal 2016 al 2018 e ditta AA. dal 2018 al 2022)”. L’autorità rogante ricorda inoltre che “C. ha investito somme della Se- greteria di Stato in strumenti finanziari di società a sé stesso riferibili (ditta BB.) nelle quali aveva degli interessi personali (banca CC., banca DD., EE.) o co- munque in strumenti finanziari speculativi ed illiquidi (FF. Srl, GG. Srl, Sor- gente HH.-Fondo II.), generando ingenti perdite alla Sante Sede”. Secondo le autorità vaticane, “le indagini in corso hanno consentito di verificare che l’ope- razione di C. è stata effettuata in complicità con funzionari della Segreteria di Stato, che venivano informati dallo stesso sulla gestione del Fondo e sui relativi risultati economici, nonché con altri soggetti” (act. 11.1, pag. 6). Data la natura dei reati contestati a C., tutta la documentazione bancaria litigiosa deve essere messa a disposizione dell'autorità rogante, affinché questa abbia una visione completa dei flussi di denaro intervenuti sul conto oggetto del sequestro, anche</w:t>
      </w:r>
    </w:p>
    <w:p>
      <w:r>
        <w:t>- 9 -</w:t>
      </w:r>
    </w:p>
    <w:p>
      <w:r>
        <w:t>in relazione a operazioni intervenute prima dell’operazione immobiliare londi- nese. L'autorità d'esecuzione ha del resto elencato tutta una serie di addebiti e accrediti di somme importanti intervenuti sulla relazione della ricorrente che de- vono essere analizzati e approfonditi dalle autorità vaticane, per verificare l'e- ventuale esistenza di altre operazioni sospette (v. act. 1.2, pag. 10 e segg.).</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 mare il sequestro della relazione intestata alla ricorrente. Il potenziale nesso fra il denaro sequestrato e i reati contestati a C. è dato: toccherà poi all'autorità estera accertare se il denaro in questione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avanzi (DTF 126 II 462 consid. 5e). La ricorrente non ha peraltro sostanziato nessuno sproporzionato pregiudizio economico cagionato dal sequestro, per cui anche</w:t>
      </w:r>
    </w:p>
    <w:p>
      <w:r>
        <w:t>- 10 -</w:t>
      </w:r>
    </w:p>
    <w:p>
      <w:r>
        <w:t>da questo punto di vista la misura in questione non presenta sostanziali criticità. Ne consegue che il sequestro va confermato e la relativa censura respinta.</w:t>
      </w:r>
    </w:p>
    <w:p>
      <w:r>
        <w:rPr>
          <w:b/>
        </w:rPr>
        <w:t>E. 5</w:t>
      </w:r>
    </w:p>
    <w:p>
      <w:r>
        <w:t>Nella misura in cui non si vede come l’acquisizione degli incarti RR.2019.327 e RR.2020.41 possa modificare le predette conclusioni, la relativa richiesta va respinta. Inoltre, essendo la procedura dinanzi a questa Corte di principio scritta e avendo la ricorrente potuto esprimersi sufficientemente nell’ambito della pre- sente procedura, pure da disattendere è la domanda di audizione per via roga- toriale o videoconferenza formulata in sede di replica, dato che non si vede quali elementi probatori di rilievo potrebbero essere in tal modo apportati.</w:t>
      </w:r>
    </w:p>
    <w:p>
      <w:r>
        <w:rPr>
          <w:b/>
        </w:rPr>
        <w:t>E. 6</w:t>
      </w:r>
    </w:p>
    <w:p>
      <w:r>
        <w:t>In definitiva, la decisione impugnata va confermata e il gravame integralmente respinto.</w:t>
      </w:r>
    </w:p>
    <w:p>
      <w:r>
        <w:rPr>
          <w:b/>
        </w:rPr>
        <w:t>E. 7</w:t>
      </w:r>
    </w:p>
    <w:p>
      <w:r>
        <w:t>Le spese seguono la soccombenza (v. art. 63 cpv. 1 PA), precisato che C., avendo ritirato il proprio gravame, va anche considerato soccombente (v. sen- tenze del Tribunale penale federale RR.2012.161 del 3 agosto 2012 e RR.2012.152 del 10 luglio 2012 con rinvii; BOVAY, Procédure administrative, 2a ediz. 2015, pag. 644 e seg.; GYGI, Bundesverwaltungsrechtspflege, 2a ediz. 1983, pag. 327).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a carico dei ricorrenti in solido;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