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RR.2020.225 vom 14. Dezember 2020</w:t>
      </w:r>
    </w:p>
    <w:p>
      <w:r>
        <w:t>Bundesstrafgericht, 2020-12-14, IT</w:t>
      </w:r>
    </w:p>
    <w:p>
      <w:r>
        <w:rPr>
          <w:b/>
        </w:rPr>
        <w:t xml:space="preserve">Quelle: </w:t>
      </w:r>
      <w:r>
        <w:t>https://mcp.opencaselaw.ch/entscheid/bstger_RR.2020.225</w:t>
      </w:r>
    </w:p>
    <w:p>
      <w:r>
        <w:t>FR: TPF RR.2020.225 du 14 décembre 2020</w:t>
      </w:r>
    </w:p>
    <w:p>
      <w:r>
        <w:t>IT: TPF RR.2020.225 del 14 dicembre 2020</w:t>
      </w:r>
    </w:p>
    <w:p>
      <w:pPr>
        <w:pStyle w:val="Heading2"/>
      </w:pPr>
      <w:r>
        <w:t>Regeste</w:t>
      </w:r>
    </w:p>
    <w:p>
      <w:r>
        <w:t>Assistenza giudiziaria internazionale in materia penale alla Città del Vaticano.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del 9 settembre 2020 è ricevibile sotto il profilo degli art. 25 cpv. 1, 80e cpv. 1 e 80k AIMP. Intestataria della relazione oggetto della decisione impu-</w:t>
      </w:r>
    </w:p>
    <w:p>
      <w:r>
        <w:t>- 4 -</w:t>
      </w:r>
    </w:p>
    <w:p>
      <w:r>
        <w:t>gnata, A. SA è legittimata a ricorrere, contrariamente all’avente diritto econo- mico B., il cui gravame è quindi inammissibile (v. art. 80h lett. b AIMP e art. 9a lett. a OAIMP nonché DTF 137 IV 134 consid. 5.2.1; 130 II 162 consid. 1.1; 128 II 211 consid. 2.3; TPF 2007 79 consid. 1.6 pag. 82).</w:t>
      </w:r>
    </w:p>
    <w:p>
      <w:r>
        <w:rPr>
          <w:b/>
        </w:rPr>
        <w:t>E. 2</w:t>
      </w:r>
    </w:p>
    <w:p>
      <w:r>
        <w:t>La ricorrente contesta l’esposto dei fatti contenuto nella rogatoria, affermando che questa non indicherebbe nessun reato penale a suo carico, ciò che non permetterebbe di verificare il rispetto del principio della doppia punibilità.</w:t>
      </w:r>
    </w:p>
    <w:p>
      <w:r>
        <w:rPr>
          <w:b/>
        </w:rPr>
        <w:t>E. 2.1.1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2.1.2</w:t>
      </w:r>
    </w:p>
    <w:p>
      <w:r>
        <w:t>In concreto, dalla rogatoria risulta che “tra novembre 2018 e maggio 2019 la Segreteria di Stato Vaticana ha effettuato le seguenti operazioni finanziarie: 1. Disinvestimento dal Fondo G., comparto della Fund H. riferibile al finanziere B. 2. Acquisto dell’intera proprietà dell’immobile sito a Londra, di cui era pro- prietaria solo al 45%, per mezzo della società I. SA di C. 3. Estromissione di C. dall’investimento mediante un pagamento di 15 milioni di Euro e passaggio di proprietà dell’immobile alla società J. SA, newco interamente posseduta dalla Segreteria di Stato. Tali operazioni, effettuate con la consulenza del gestore patrimoniale di fiducia della Segreteria di Stato, E., hanno visto l’impiego di somme a destinazione vincolata e con il ricorso a schemi di investimento non trasparenti né coerenti con le normali prassi che regolano gli investimenti im- mobiliari (da qui l’ipotesi di peculato per distrazione) generato ingenti danni al patrimonio della Santa Sede. L’Ufficio Amministrativo della Segreteria di Stato</w:t>
      </w:r>
    </w:p>
    <w:p>
      <w:r>
        <w:t>- 5 -</w:t>
      </w:r>
    </w:p>
    <w:p>
      <w:r>
        <w:t>che ha seguito i fatti, e che allo stato delle indagini è gravemente indiziato dei reati sopra ipotizzati, era composto da: K. (Capo Ufficio), D. (funzionario) e L. (funzionario). Si evidenzia come l’investimento nel fondo G. origina da due fi- nanziamenti erogati dalle banche M. e N., entrambi gestiti da E., per un totale di 200,5 milioni di USD. Alla data del 30-9-2019 tali finanziamenti risultavano ancora in essere per un importo pari a 172 milioni di Euro presso la banca M.,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indiziaria del fatto che essa abbia rappresentato un escamotage per non ren- dere visibile – come del resto avvenuto per moltissimi anni – la distrazione com- piuta. Appare inspiegabile il fatto che, a fronte di liquidità disponibili presso la banca M. per oltre 450 milioni di Euro e concesse in pegno alla banca, la Se- greteria di Stato abbia fatto ricorso ad un finanziamento” (act. 11.1, pag. 2 e seg.). Dopo aver fornito i dettagli delle tre fasi sopraelencate (v. 11.1, pag. 2 e segg.), l’autorità rogante afferma che “allo stato delle indagini i danni arrecati al patrimonio della Segreteria di Stato per effetto delle condotte distrattive sopra descritte, risultano di importo ingente (attualmente quantificabili in non meno di 300 milioni di euro)” (act. 11.1, pag. 5). L’esposto dei fatti contenuto nella roga- toria, conforme all'art. 28 AIMP, risulta sufficiente per comprendere i fatti og- getto d'indagine e i reati contestati agli indagati (v. anche infra consid. 4.2), per cui le censure in questo ambito vanno disattese.</w:t>
      </w:r>
    </w:p>
    <w:p>
      <w:r>
        <w:rPr>
          <w:b/>
        </w:rPr>
        <w:t>E. 2.2.1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 zione giuridica (DTF 124 II 184 consid. 4b/cc pag. 188). Diversamente dall'am- bito estradizionale, le misure di cooperazione sono già ammesse se la condi- 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w:t>
      </w:r>
    </w:p>
    <w:p>
      <w:r>
        <w:t>- 6 -</w:t>
      </w:r>
    </w:p>
    <w:p>
      <w:r>
        <w:t>e non secondo il diritto in vigore al momento della conclusione di un trattato, della commissione di un'eventuale infrazione o della presentazione della do- manda di assistenza (v. sentenza del Tribunale federale 1A.205/2006 del 7 di- cembre 2006 consid. 3.2 e sentenza del Tribunale penale federale RR.2007.36 del 7 maggio 2007 consid. 1 con rinvii).</w:t>
      </w:r>
    </w:p>
    <w:p>
      <w:r>
        <w:rPr>
          <w:b/>
        </w:rPr>
        <w:t>E. 2.2.2</w:t>
      </w:r>
    </w:p>
    <w:p>
      <w:r>
        <w:t>In concreto, i fatti contestati agli indagati (v. supra Fatti lett. A e consid. 2.1.2) possono perlomeno essere sussunti ai reati di amministrazione infedele (art. 158 CP) risp. di infedeltà nella gestione pubblica (art. 314 CP) e riciclaggio di denaro (art. 305bis CP), per cui la condizione della doppia punibilità è osse- quiata già solo per tali motivi.</w:t>
      </w:r>
    </w:p>
    <w:p>
      <w:r>
        <w:rPr>
          <w:b/>
        </w:rPr>
        <w:t>E. 3</w:t>
      </w:r>
    </w:p>
    <w:p>
      <w:r>
        <w:t>L’insorgente afferma che la trasmissione della documentazione litigiosa viole- rebbe il principio della proporzionalità, data l’estraneità della stessa a qualsivo- glia fattispecie penale nonché all’operazione finanziaria immobiliare descritta nella rogatoria, anche perché la maggior parte degli accrediti e addebiti indicati nella decisione impugnata sarebbero antecedenti all’operazione londinese, e in ogni caso concernerebbero persone giuridiche o fisiche che nulla avrebbero a che vedere con la fattispecie in questione. La presente procedura costituirebbe in realtà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w:t>
      </w:r>
    </w:p>
    <w:p>
      <w:r>
        <w:t>- 7 -</w:t>
      </w:r>
    </w:p>
    <w:p>
      <w:r>
        <w:t>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 tobre 2010 consid. 4.2.4/a e RR.2009.320 del 2 febbraio 2010 consid. 4.1; ZIMMERMANN, La coopération judiciaire internationale en matière pénale, 5a ediz. 2019, n. 722, pag. 798 e seg.). Vietata in particolare è la cosiddetta fishing expedition, la quale è definita dalla giurisprudenza una ricerca generale</w:t>
      </w:r>
    </w:p>
    <w:p>
      <w:r>
        <w:t>- 8 -</w:t>
      </w:r>
    </w:p>
    <w:p>
      <w:r>
        <w:t>ed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In concreto, l'utilità potenziale della documentazione litigiosa è certamente data, già solo per il fatto che B., avente diritto economico della relazione in questione, è indagato nel procedimento estero per reati patrimoniali. L’autorità rogante ha affermato ch’egli è la persona che, attraverso le sue diverse società, ha tratto il maggior vantaggio dall’operazione di Londra (v. act. 11.1, pag. 5). Infatti, “a fronte di un esborso pari a 250 milioni di Euro, la Segreteria di Stato si trova oggi proprietaria di un immobile che sulla carta varrebbe 260 milioni di Euro, ma per assicurarsi la piena proprietà del quale, avrà sostenuto alla fine – tra quanto già esborsato e quanto dovrà ancora pagare – un costo (al netto degli interessi dei vari mutui in essere) pari a oltre 360 milioni di Euro. A tale importo bisogna aggiungere le ulteriori somme che la Segreteria di Stato ha corrisposto a B. per mezzo delle sue società”, ossia “commissioni di gestione relative al Fondo G. (2013-2018): 16 milioni di Euro pari al 2% annuo, incassati da O. Sarl; commis- sioni per il contratto di Advisory Investment relative al mutuo P. incassate dalla società Q. Limited; c.a. 2 milioni di Euro come Investment Advisor richiesto dal finanziatore P. per l’erogazione del prestito di 128 mln/GBP; morosità per ca- noni di locazione non pagati nell’immobile a Londra; c.a. 243 mila Euro non pagati da società della moglie di B., R. (ditta S.) dal 2016 al 2018 e ditta T. dal 2018 al 2022)”. L’autorità rogante ricorda inoltre che “B. ha investito somme della Segreteria di Stato in strumenti finanziari di società a sé stesso riferibili (ditta AA.) nelle quali aveva degli interessi personali (banca BB., banca CC., DD.) o comunque in strumenti finanziari speculativi ed illiquidi (EE. Srl, FF. Srl, Sorgente GG.-Fondo HH.), generando ingenti perdite alla Sante Sede”. Se- condo le autorità vaticane, “le indagini in corso hanno consentito di verificare che l’operazione di B. è stata effettuata in complicità con funzionari della Segre- teria di Stato, che venivano informati dallo stesso sulla gestione del Fondo e sui relativi risultati economici, nonché con altri soggetti” (act. 11.1, pag. 6). Data la natura dei reati contestati a B., tutta la documentazione bancaria litigiosa deve essere messa a disposizione dell'autorità rogante, affinché questa abbia una visione completa dei flussi di denaro intervenuti sul conto oggetto del sequestro, anche in relazione a operazioni intervenute prima dell’operazione immobiliare londinese. L'autorità d'esecuzione ha del resto elencato tutta una serie di adde- biti e accrediti di somme importanti intervenuti sulla relazione della ricorrente che devono essere analizzati e approfonditi dalle autorità vaticane, per verifi- care l'eventuale esistenza di altre operazioni sospette (v. act. 1.2, pag. 10 e segg.).</w:t>
      </w:r>
    </w:p>
    <w:p>
      <w:r>
        <w:t>- 9 -</w:t>
      </w:r>
    </w:p>
    <w:p>
      <w:r>
        <w:t>Spetterà comunque al giudice estero del merito chinarsi sulle contestazioni dei fatti e/o reati formulate dalla ricorrente nonché valutare se dalla documenta- zione inoltrata emerge in concreto una connessione penalmente rilevante fra i fatti oggetto della procedura penale nella Città del Vaticano e detta documen- tazione. Alla luce della domanda rogatoriale risulta che tutta la documentazione litigiosa è potenzialmente utile per l’inchiesta, motivo per cui la sua trasmissione rispetta il principio della proporzionalità e non costituisce una fishing expedition.</w:t>
      </w:r>
    </w:p>
    <w:p>
      <w:r>
        <w:rPr>
          <w:b/>
        </w:rPr>
        <w:t>E. 4</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Ebbene, visto quanto esposto in precedenza (v. supra consid. 3.2) nonché il danno globale di non meno di EUR 300 milioni indicato dall’autorità rogante (v. supra consid. 2.1.2), importo decisamente superiore ai valori qui sequestrati, è senz'altro possibile concludere che esistono elementi sufficienti per confermare il sequestro della relazione intestata alla ricorrente. Il potenziale nesso fra il de- naro sequestrato e i reati contestati a B. è dato: toccherà poi all'autorità estera accertare se il denaro in questione è effettivamente di origine illecita. In caso affermativo, esso potrebbe fare l'oggetto di una decisione di confisca o di resti- tuzione all'avente diritto nello Stato richiedente (v. art. 74a cpv. 1 e 2 AIMP non- ché DTF 123 II 134 consid. 5c; 123 II 268 consid. 4; 123 II 595 consid. 3). In definitiva, il sequestro litigioso deve essere mantenuto di principio sino alla no- tifica di una decisione definitiva ed esecutiva dello Stato richiedente o fintanto che quest'ultimo non abbia comunicato che una tale decisione non può più es- sere pronunciata (art. 74a cpv. 3 AIMP e 33a OAIMP; TPF 2007 124 consid. 8 e rinvii), ferma restando la necessità che la procedura all'estero avanzi (DTF 126 II 462 consid. 5e). La ricorrente non ha peraltro sostanziato nessuno sproporzionato pregiudizio economico cagionato dal sequestro, per cui anche da questo punto di vista la misura in questione non presenta sostanziali criticità. Ne consegue che il sequestro va confermato e la relativa censura respinta.</w:t>
      </w:r>
    </w:p>
    <w:p>
      <w:r>
        <w:rPr>
          <w:b/>
        </w:rPr>
        <w:t>E. 5</w:t>
      </w:r>
    </w:p>
    <w:p>
      <w:r>
        <w:t>Nella misura in cui non si vede come l’acquisizione degli incarti RR.2019.327 e RR.2020.44-45 possa modificare le predette conclusioni, la relativa richiesta va respinta. Inoltre, essendo la procedura dinanzi a questa Corte di principio scritta</w:t>
      </w:r>
    </w:p>
    <w:p>
      <w:r>
        <w:t>- 10 -</w:t>
      </w:r>
    </w:p>
    <w:p>
      <w:r>
        <w:t>e avendo la ricorrente potuto esprimersi sufficientemente nell’ambito della pre- sente procedura, pure da disattendere è la domanda di audizione per via roga- toriale o videoconferenza formulata in sede di replica, dato che non si vede quali elementi probatori di rilievo potrebbero essere in tal modo apportati.</w:t>
      </w:r>
    </w:p>
    <w:p>
      <w:r>
        <w:rPr>
          <w:b/>
        </w:rPr>
        <w:t>E. 6</w:t>
      </w:r>
    </w:p>
    <w:p>
      <w:r>
        <w:t>In definitiva, la decisione impugnata va confermata e il gravame integralmente respinto, nella misura della sua ammissibilità.</w:t>
      </w:r>
    </w:p>
    <w:p>
      <w:r>
        <w:rPr>
          <w:b/>
        </w:rPr>
        <w:t>E. 7</w:t>
      </w:r>
    </w:p>
    <w:p>
      <w:r>
        <w:t>Visto l'esito del ricorso, la domanda di dissequestro a titolo provvisionale della relazione n. 1 presso la banca F. è divenuta priva d'oggetto.</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3'000.–, a carico dei ricorrenti in solido;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