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RR.2020.223 vom 14. Dezember 2020</w:t>
      </w:r>
    </w:p>
    <w:p>
      <w:r>
        <w:t>Bundesstrafgericht, 2020-12-14, IT</w:t>
      </w:r>
    </w:p>
    <w:p>
      <w:r>
        <w:rPr>
          <w:b/>
        </w:rPr>
        <w:t xml:space="preserve">Quelle: </w:t>
      </w:r>
      <w:r>
        <w:t>https://mcp.opencaselaw.ch/entscheid/bstger_RR.2020.223</w:t>
      </w:r>
    </w:p>
    <w:p>
      <w:r>
        <w:t>FR: TPF RR.2020.223 du 14 décembre 2020</w:t>
      </w:r>
    </w:p>
    <w:p>
      <w:r>
        <w:t>IT: TPF RR.2020.223 del 14 dicembre 2020</w:t>
      </w:r>
    </w:p>
    <w:p>
      <w:pPr>
        <w:pStyle w:val="Heading2"/>
      </w:pPr>
      <w:r>
        <w:t>Regeste</w:t>
      </w:r>
    </w:p>
    <w:p>
      <w:r>
        <w:t>Assistenza giudiziaria internazionale in materia penale alla Città del Vaticano.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 gnata, A. Limited è legittimata a ricorrere (v. art. 80h lett. b AIMP e art. 9a lett. a</w:t>
      </w:r>
    </w:p>
    <w:p>
      <w:r>
        <w:t>- 4 -</w:t>
      </w:r>
    </w:p>
    <w:p>
      <w:r>
        <w:t>OAIMP nonché DTF 137 IV 134 consid. 5.2.1; 130 II 162 consid. 1.1; 128 II 211 consid. 2.3; TPF 2007 79 consid. 1.6 pag. 82).</w:t>
      </w:r>
    </w:p>
    <w:p>
      <w:r>
        <w:t>Per quanto riguarda C., questa Corte prende atto del ritiro del suo gravame. La causa RR.2020.224 va pertanto stralciata dal ruolo.</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H., comparto della Fund I. riferibile al finanziere C. 2. Acquisto dell’intera proprietà dell’immobile sito a Londra, di cui era pro- prietaria solo al 45%, per mezzo della società J. SA di D. 3. Estromissione di D. dall’investimento mediante un pagamento di 15 milioni di Euro e passaggio di proprietà dell’immobile alla società K. SA, newco interamente posseduta dalla Segreteria di Stato. Tali operazioni, effettuate con la consulenza del gestore patrimoniale di fiducia della Segreteria di Stato, F., hanno visto l’impiego di somme a destinazione vincolata e con il ricorso a schemi di investimento non trasparenti né coerenti con le normali prassi che regolano gli investimenti im- mobiliari (da qui l’ipotesi di peculato per distrazione) generato ingenti danni al</w:t>
      </w:r>
    </w:p>
    <w:p>
      <w:r>
        <w:t>- 5 -</w:t>
      </w:r>
    </w:p>
    <w:p>
      <w:r>
        <w:t>patrimonio della Santa Sede. L’Ufficio Amministrativo della Segreteria di Stato che ha seguito i fatti, e che allo stato delle indagini è gravemente indiziato dei reati sopra ipotizzati, era composto da: L. (Capo Ufficio), E. (funzionario) e M. (funzionario). Si evidenzia come l’investimento nel fondo H. origina da due fi- nanziamenti erogati dalle banche N. e O., entrambi gestiti da F., per un totale di 200,5 milioni di USD. Alla data del 30-9-2019 tali finanziamenti risultavano ancora in essere per un importo pari a 172 milioni di Euro presso la banca N.,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indiziaria del fatto che essa abbia rappresentato un escamotage per non ren- dere visibile – come del resto avvenuto per moltissimi anni – la distrazione com- piuta. Appare inspiegabile il fatto che, a fronte di liquidità disponibili presso la banca N. per oltre 450 milioni di Euro e concesse in pegno alla banca, la Se- greteria di Stato abbia fatto ricorso ad un finanziamento” (act. 11.1, pag. 2 e seg.). Dopo aver fornito i dettagli delle tre fasi sopraelencate (v. 11.1, pag. 2 e segg.), l’autorità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 toria, conforme all'art. 28 AIMP, risulta sufficiente per comprendere i fatti og- getto d'indagine e i reati contestati agli indagati (v. anche infra consid. 4.2), per cui le censure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w:t>
      </w:r>
    </w:p>
    <w:p>
      <w:r>
        <w:t>- 6 -</w:t>
      </w:r>
    </w:p>
    <w:p>
      <w:r>
        <w:t>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tutti gli accrediti e addebiti indicati nella decisione impugnata sarebbero antecedenti all’operazione londinese, e in ogni caso con- 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- 7 -</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w:t>
      </w:r>
    </w:p>
    <w:p>
      <w:r>
        <w:t>- 8 -</w:t>
      </w:r>
    </w:p>
    <w:p>
      <w:r>
        <w:t>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C., settlor e beneficiario del trust, è indagato nel proce- 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C. per mezzo delle sue società”, ossia “commissioni di gestione relative al Fondo H. (2013-2018): 16 milioni di Euro pari al 2% annuo, incassati da P. Sarl; commissioni per il contratto di Advisory Investment relative al mutuo Q. incassate dalla società R. Limited; c.a. 2 milioni di Euro come Investment Advisor richiesto dal finan- ziatore Q. per l’erogazione del prestito di 128 mln/GBP; morosità per canoni di locazione non pagati nell’immobile a Londra; c.a. 243 mila Euro non pagati da società della moglie di C., S. (ditta T.) dal 2016 al 2018 e ditta AA. dal 2018 al 2022)”. L’autorità rogante ricorda inoltre che “C. ha investito somme della Se- greteria di Stato in strumenti finanziari di società a sé stesso riferibili (ditta BB.) nelle quali aveva degli interessi personali (banca CC., banca DD., EE.) o co- munque in strumenti finanziari speculativi ed illiquidi (FF. Srl, FF. Srl, Sor- gente HH.-Fondo II.), generando ingenti perdite alla Sante Sede”. Secondo le autorità vaticane, “le indagini in corso hanno consentito di verificare che l’ope- razione di C. è stata effettuata in complicità con funzionari della Segreteria di Stato, che venivano informati dallo stesso sulla gestione del Fondo e sui relativi risultati economici, nonché con altri soggetti” (act. 11.1, pag. 6). Data la natura dei reati contestati a C., tutta la documentazione bancaria litigiosa deve essere messa a disposizione dell'autorità rogante, affinché questa abbia una visione completa dei flussi di denaro intervenuti sul conto oggetto del sequestro, anche in relazione a operazioni intervenute prima dell’operazione immobiliare londi- nese. L'autorità d'esecuzione ha del resto elencato tutta una serie di addebiti e accrediti di somme importanti intervenuti sulla relazione della ricorrente che de- vono essere analizzati e approfonditi dalle autorità vaticane, per verificare l'e- ventuale esistenza di altre operazioni sospette (v. act. 1.2, pag. 10 e segg.).</w:t>
      </w:r>
    </w:p>
    <w:p>
      <w:r>
        <w:t>- 9 -</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Nella misura in cui non si vede come l’acquisizione degli incarti RR.2019.327 e RR.2020.44-45 possa modificare le predette conclusioni, la relativa richiesta va respinta. Inoltre, essendo la procedura dinanzi a questa Corte di principio scritta 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5</w:t>
      </w:r>
    </w:p>
    <w:p>
      <w:r>
        <w:t>In definitiva, la decisione impugnata va confermata e il gravame di A. Limited integralmente respinto.</w:t>
      </w:r>
    </w:p>
    <w:p>
      <w:r>
        <w:rPr>
          <w:b/>
        </w:rPr>
        <w:t>E. 6</w:t>
      </w:r>
    </w:p>
    <w:p>
      <w:r>
        <w:t>Le spese seguono la soccombenza (v. art. 63 cpv. 1 PA), precisato che C., avendo ritirato il proprio gravame, va anche considerato soccombente (v. sen- tenze del Tribunale penale federale RR.2012.161 del 3 agosto 2012 e RR.2012.152 del 10 luglio 2012 con rinvii; BOVAY, Procédure administrative, 2a ediz. 2015, pag. 644 e seg.; GYGI, Bundesverwaltungsrechtspflege, 2a ediz. 1983, pag. 327).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 a carico dei ricorrenti in solido;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