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RR.2020.215 vom 14. Dezember 2020</w:t>
      </w:r>
    </w:p>
    <w:p>
      <w:r>
        <w:t>Bundesstrafgericht, 2020-12-14, IT</w:t>
      </w:r>
    </w:p>
    <w:p>
      <w:r>
        <w:rPr>
          <w:b/>
        </w:rPr>
        <w:t xml:space="preserve">Quelle: </w:t>
      </w:r>
      <w:r>
        <w:t>https://mcp.opencaselaw.ch/entscheid/bstger_RR.2020.215</w:t>
      </w:r>
    </w:p>
    <w:p>
      <w:r>
        <w:t>FR: TPF RR.2020.215 du 14 décembre 2020</w:t>
      </w:r>
    </w:p>
    <w:p>
      <w:r>
        <w:t>IT: TPF RR.2020.215 del 14 dicembre 2020</w:t>
      </w:r>
    </w:p>
    <w:p>
      <w:pPr>
        <w:pStyle w:val="Heading2"/>
      </w:pPr>
      <w:r>
        <w:t>Regeste</w:t>
      </w:r>
    </w:p>
    <w:p>
      <w:r>
        <w:t>Assistenza giudiziaria internazionale in materia penale alla Città del Vaticano. Consegna di mezzi di prova (art. 74 AIMP). Durata del sequestro (art. 33a OAIMP).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In assenza di trattati internazionali, ai rapporti di assistenza giudiziaria interna- zionale in materia penale tra la Città del Vaticano e la Svizzera si applica la legge federale sull'assistenza internazionale in materia penale del 20 marzo 1981 (AIMP; RS 351.1), unitamente alla relativa ordinanza (OAIMP; RS 351.11; v. art. 1 cpv. 1 AIMP).</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w:t>
      </w:r>
    </w:p>
    <w:p>
      <w:r>
        <w:t>- 4 -</w:t>
      </w:r>
    </w:p>
    <w:p>
      <w:r>
        <w:t>12 cpv. 1 AIMP; v. DANGUBIC/KESHELAVA, Commentario basilese, Internationa- les Strafrecht, 2015, n. 1 e segg. ad art. 12 AIMP), di cui al precedente consi- derando.</w:t>
      </w:r>
    </w:p>
    <w:p>
      <w:r>
        <w:rPr>
          <w:b/>
        </w:rPr>
        <w:t>E. 1.4</w:t>
      </w:r>
    </w:p>
    <w:p>
      <w:r>
        <w:t>Interposto tempestivamente contro la sopraccitata decisione di chiusura, il ri- corso del 9 settembre 2020 è ricevibile sotto il profilo degli art. 25 cpv. 1, 80e cpv. 1 e 80k AIMP. Intestataria della relazione oggetto della decisione impu- gnata, A. SA in liq. è legittimata a ricorrere, contrariamente all’avente diritto eco- nomico B., il cui gravame è quindi inammissibile (v. art. 80h lett. b AIMP e art. 9a lett. a OAIMP nonché DTF 137 IV 134 consid. 5.2.1; 130 II 162 consid. 1.1; 128 II 211 consid. 2.3; TPF 2007 79 consid. 1.6 pag. 82).</w:t>
      </w:r>
    </w:p>
    <w:p>
      <w:r>
        <w:rPr>
          <w:b/>
        </w:rPr>
        <w:t>E. 2</w:t>
      </w:r>
    </w:p>
    <w:p>
      <w:r>
        <w:t>La ricorrente contesta l’esposto dei fatti contenuto nella rogatoria, affermando che questa non indicherebbe nessun reato penale a suo carico, ciò che non permetterebbe di verificare il rispetto del principio della doppia punibilità.</w:t>
      </w:r>
    </w:p>
    <w:p>
      <w:r>
        <w:rPr>
          <w:b/>
        </w:rPr>
        <w:t>E. 2.1.1</w:t>
      </w:r>
    </w:p>
    <w:p>
      <w:r>
        <w:t>Per quanto attiene alla domanda di assistenza, l’art. 28 AIMP esige in sostanza che essa sia scritta, che indichi l'ufficio da cui emana e all'occorrenza l'autorità competente per il procedimento penale, il suo oggetto, il motivo, la qualifica- zione giuridica del reato, i dati, il più possibile precisi e completi, della persona contro cui è diretto il procedimento penale, presentando altresì un breve espo- 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l'obbligo di provare la commissione del reato, ma solo quello di esporre in modo sufficiente le circo- stanze sulle quali fonda i propri sospetti, per permettere allo Stato richiesto di escludere la sussistenza di un'inammissibile ricerca indiscriminata di prove (v. su questo tema DTF 129 II 97 consid. 3.1; 125 II 65 consid. 6b/aa; 122 II 367 consid. 2c; sentenza del Tribunale penale federale RR.2017.92 del 18 luglio 2017 consid. 2.2). L'autorità rogata non si scosta dall'esposto dei fatti contenuto nella domanda, fatti salvi gli errori, le lacune o altre contraddizioni evidenti ed immediatamente rilevati (DTF 142 IV 250 consid. 6.3; 136 IV 4 consid. 4.1; 133 IV 76 consid. 2.2; 132 II 81 consid. 2.1; 118 Ib 111 consid. 5b pag. 121 e seg; TPF 2011 194 consid. 2.1.).</w:t>
      </w:r>
    </w:p>
    <w:p>
      <w:r>
        <w:rPr>
          <w:b/>
        </w:rPr>
        <w:t>E. 2.1.2</w:t>
      </w:r>
    </w:p>
    <w:p>
      <w:r>
        <w:t>In concreto, dalla rogatoria risulta che “tra novembre 2018 e maggio 2019 la Segreteria di Stato Vaticana ha effettuato le seguenti operazioni finanziarie: 1. Disinvestimento dal Fondo G., comparto della Fund H. riferibile al finanziere B. 2. Acquisto dell’intera proprietà dell’immobile sito a Londra, di cui era pro- prietaria solo al 45%, per mezzo della società I. SA di C. 3. Estromissione di C. dall’investimento mediante un pagamento di 15 milioni di Euro e passaggio di</w:t>
      </w:r>
    </w:p>
    <w:p>
      <w:r>
        <w:t>- 5 -</w:t>
      </w:r>
    </w:p>
    <w:p>
      <w:r>
        <w:t>proprietà dell’immobile alla società J. SA, newco interamente posseduta dalla Segreteria di Stato. Tali operazioni, effettuate con la consulenza del gestore patrimoniale di fiducia della Segreteria di Stato, E., hanno visto l’impiego di somme a destinazione vincolata e con il ricorso a schemi di investimento non trasparenti né coerenti con le normali prassi che regolano gli investimenti im- mobiliari (da qui l’ipotesi di peculato per distrazione) generato ingenti danni al patrimonio della Santa Sede. L’Ufficio Amministrativo della Segreteria di Stato che ha seguito i fatti, e che allo stato delle indagini è gravemente indiziato dei reati sopra ipotizzati, era composto da: K. (Capo Ufficio), D. (funzionario) e L. (funzionario). Si evidenzia come l’investimento nel fondo G. origina da due fi- nanziamenti erogati dalle banche M. e N., entrambi gestiti da E., per un totale di 200,5 milioni di USD. Alla data del 30-9-2019 tali finanziamenti risultavano ancora in essere per un importo pari a 172 milioni di Euro presso la banca M., garantiti dal pegno generale sulle disponibilità rivenienti dalle offerte dei fedeli per il c.d. Obolo di San Pietro e da altri fondi aventi vincolo di scopo. Il ricorso a questa struttura finanziaria, realizzata attraverso la costituzione in pegno dei fondi vincolati anziché attraverso l’impiego diretto delle disponibilità liquide (cd. Credito Lombard), a parere di questo Ufficio, rappresenta la forte evidenza in- diziaria del fatto che essa abbia rappresentato un escamotage per non rendere visibile – come del resto avvenuto per moltissimi anni – la distrazione compiuta. Appare inspiegabile il fatto che, a fronte di liquidità disponibili presso la banca M. per oltre 450 milioni di Euro e concesse in pegno alla banca, la Segreteria di Stato abbia fatto ricorso ad un finanziamento” (act. 11.1, pag. 2 e seg.). Dopo aver fornito i dettagli delle tre fasi sopraelencate (v. 11.1, pag. 2 e segg.), l’au- torità rogante afferma che “allo stato delle indagini i danni arrecati al patrimonio della Segreteria di Stato per effetto delle condotte distrattive sopra descritte, risultano di importo ingente (attualmente quantificabili in non meno di 300 milioni di euro)” (act. 11.1, pag. 5). L’esposto dei fatti contenuto nella rogatoria, con- forme all'art. 28 AIMP, risulta sufficiente per comprendere i fatti oggetto d'inda- gine e i reati contestati agli indagati (v. anche infra consid. 4.2), per cui le cen- sure in questo ambito vanno disattese.</w:t>
      </w:r>
    </w:p>
    <w:p>
      <w:r>
        <w:rPr>
          <w:b/>
        </w:rPr>
        <w:t>E. 2.2.1</w:t>
      </w:r>
    </w:p>
    <w:p>
      <w:r>
        <w:t>Nel diritto interno, il principio della doppia punibilità è espresso all'art. 64 cpv. 1 AIMP. Il giudice dell'assistenza e prima di esso le autorità d'esecuzione non devono procedere a un esame dei reati e delle norme penali menzionati nella domanda di assistenza e verificare la loro corrispondenza con le norme del di- ritto svizzero, ma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 sid. 4b/cc pag. 188; 118 Ib 543 consid. 3b/aa pag. 546; 116 Ib 89 consid. 3b/bb; 112 Ib 576 consid. 11b/bb pag. 594). I fatti incriminati non devono forzatamente</w:t>
      </w:r>
    </w:p>
    <w:p>
      <w:r>
        <w:t>- 6 -</w:t>
      </w:r>
    </w:p>
    <w:p>
      <w:r>
        <w:t>essere caratterizzati, nelle due legislazioni toccate, dalla medesima qualifica- zione giuridica (DTF 124 II 184 consid. 4b/cc pag. 188). Diversamente dall'am- bito estradizionale, le misure di cooperazione sono già ammesse se la condi- zione della doppia punibilità è ossequiata alla luce di una singola fattispecie (sentenza del Tribunale federale 1C_138/2007 del 17 luglio 2007 consid. 2.3 e rinvii). La doppia punibilità deve essere esaminata secondo il diritto in vigore nello Stato richiesto nel momento in cui la decisione sulla cooperazione è presa, e non secondo il diritto in vigore al momento della conclusione di un trattato, della commissione di un'eventuale infrazione o della presentazione della do- manda di assistenza (v. sentenza del Tribunale federale 1A.205/2006 del 7 di- cembre 2006 consid. 3.2 e sentenza del Tribunale penale federale RR.2007.36 del 7 maggio 2007 consid. 1 con rinvii).</w:t>
      </w:r>
    </w:p>
    <w:p>
      <w:r>
        <w:rPr>
          <w:b/>
        </w:rPr>
        <w:t>E. 2.2.2</w:t>
      </w:r>
    </w:p>
    <w:p>
      <w:r>
        <w:t>In concreto, i fatti contestati agli indagati (v. supra Fatti lett. A e consid. 2.1.2) possono perlomeno essere sussunti ai reati di amministrazione infedele (art. 158 CP) risp. di infedeltà nella gestione pubblica (art. 314 CP) e riciclaggio di denaro (art. 305bis CP), per cui la condizione della doppia punibilità è osse- quiata già solo per tali motivi.</w:t>
      </w:r>
    </w:p>
    <w:p>
      <w:r>
        <w:rPr>
          <w:b/>
        </w:rPr>
        <w:t>E. 3</w:t>
      </w:r>
    </w:p>
    <w:p>
      <w:r>
        <w:t>L’insorgente afferma che la trasmissione della documentazione litigiosa viole- rebbe il principio della proporzionalità, data l’estraneità della stessa a qualsivo- glia fattispecie penale nonché all’operazione finanziaria immobiliare descritta nella rogatoria, anche perché la maggior parte degli accrediti e addebiti indicati nella decisione impugnata sarebbero antecedenti all’operazione londinese, e in ogni caso concernerebbero persone giuridiche e fisiche che nulla avrebbero a che vedere con la fattispecie in questione. La presente procedura costituirebbe in realtà una fishing expedition.</w:t>
      </w:r>
    </w:p>
    <w:p>
      <w:r>
        <w:rPr>
          <w:b/>
        </w:rPr>
        <w:t>E. 3.1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w:t>
      </w:r>
    </w:p>
    <w:p>
      <w:r>
        <w:t>- 7 -</w:t>
      </w:r>
    </w:p>
    <w:p>
      <w:r>
        <w:t>dell'8 maggio 2017 consid. 3.1 e rinvii) o se la domanda appare abusiva, le in- formazioni richieste essendo del tutto inidonee a far progredire le indagini (DTF 136 IV 82 consid. 4.1; 122 II 134 consid. 7b; 121 II 241 consid. 3a; sen- tenza del Tribunale penale federale RR.2017.21 dell'8 maggio 2017 consid. 3.1 e rinvii).</w:t>
      </w:r>
    </w:p>
    <w:p>
      <w:r>
        <w:t>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 tutte le transazioni effettuate attraverso i conti coinvolti. Si tratta di quei conti, come nel caso in esame, suscettibili di un utilizzo con finalità criminali. L’autorità richiedente ha un interesse ad essere informata di qualsiasi transazione che possa far parte del meccanismo delittuoso messo in atto dalle persone sotto inchiesta (decisione del Tribunale penale federale RR.2014.4 del 30 luglio 2014 consid. 2.2.2). Naturalmente è anche possibile che i conti contestati non siano stati utilizzati per ricevere proventi di reati o per effettuare trasferimenti illeciti o riciclare fondi, ma l’autorità richiedente ha comunque interesse a poterlo verifi- care essa stessa, sulla base di una documentazione completa, tenendo pre- sente che l’assistenza reciproca è finalizzata non solo alla raccolta di prove in- criminanti ma anche a discarico (sentenza del Tribunale federale 1A.88/2006 del 22 giugno 2006 consid. 5.3; decisione del Tribunale penale federale RR.2007.29 del 30 maggio 2007 consid. 4.2). La trasmissione dell'intera docu- mentazione potrà evitare altresì che le autorità debbano inoltrare eventuali do- mande complementari (DTF 136 IV 82 consid. 4.1; 121 II 241 consid. 3; sen- tenza del Tribunale federale 1C_486/2008 dell'11 novembre 2008 consid. 2.4; sentenza del Tribunale penale federale RR.2011.113 del 28 luglio 2011 con- sid. 4.2), con evidente intralcio alle esigenze di celerità (v. anche art. 17a cpv. 1 AIMP). In base alla giurisprudenza, l'esame da parte delle autorità di esecu- 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consid. 7.1). Il principio dell’utilità potenziale gioca un ruolo cruciale nell'ambito dell'assistenza in materia penale. Lo scopo di tale cooperazione è proprio quello di favorire la scoperta di fatti, informazioni e mezzi di prova, compresi quelli di cui l'autorità estera non sospetta neppure l'esistenza. Non si tratta soltanto di aiutare lo Stato richiedente a provare i fatti evidenziati dall'inchiesta, ma di svelarne altri, se ne esistono. Ne deriva, per</w:t>
      </w:r>
    </w:p>
    <w:p>
      <w:r>
        <w:t>- 8 -</w:t>
      </w:r>
    </w:p>
    <w:p>
      <w:r>
        <w:t>l'autorità d'esecuzione,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 tobre 2010 consid. 4.2.4/a e RR.2009.320 del 2 febbraio 2010 consid. 4.1; ZIMMERMANN, La coopération judiciaire internationale en matière pénale, 5a ediz. 2019, n. 722, pag. 798 e seg.). Vietata in particolare è la cosiddetta fishing expedition, la quale è definita dalla giurisprudenza una ricerca generale ed indeterminata di mezzi di prova volta a fondare un sospetto senza che esi- stano pregressi elementi concreti a sostegno dello stesso (DTF 137 I 218 con- 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rPr>
          <w:b/>
        </w:rPr>
        <w:t>E. 3.2</w:t>
      </w:r>
    </w:p>
    <w:p>
      <w:r>
        <w:t>In concreto, l'utilità potenziale della documentazione litigiosa è certamente data, già solo per il fatto che B., avente diritto economico della relazione in questione, è indagato nel procedimento estero per reati patrimoniali. L’autorità rogante ha affermato ch’egli è la persona che, attraverso le sue diverse società, ha tratto il maggior vantaggio dall’operazione di Londra (v. act. 11.1, pag. 5). Infatti, “a fronte di un esborso pari a 250 milioni di Euro, la Segreteria di Stato si trova oggi proprietaria di un immobile che sulla carta varrebbe 260 milioni di Euro, ma per assicurarsi la piena proprietà del quale, avrà sostenuto alla fine – tra quanto già esborsato e quanto dovrà ancora pagare – un costo (al netto degli interessi dei vari mutui in essere) pari a oltre 360 milioni di Euro. A tale importo bisogna aggiungere le ulteriori somme che la Segreteria di Stato ha corrisposto a B. per mezzo delle sue società”, ossia “commissioni di gestione relative al Fondo G. (2013-2018): 16 milioni di Euro pari al 2% annuo, incassati da O. Sarl; commis- sioni per il contratto di Advisory Investment relative al mutuo P. incassate dalla società Q. Limited; c.a. 2 milioni di Euro come Investment Advisor richiesto dal finanziatore P. per l’erogazione del prestito di 128 mln/GBP; morosità per ca- noni di locazione non pagati nell’immobile a Londra; c.a. 243 mila Euro non pagati da società della moglie di B., R. (ditta S.) dal 2016 al 2018 e ditta T. dal 2018 al 2022)”. L’autorità rogante ricorda inoltre che “B. ha investito somme della Segreteria di Stato in strumenti finanziari di società a sé stesso riferibili (ditta AA.) nelle quali aveva degli interessi personali (banca BB., banca CC., DD.) o comunque in strumenti finanziari speculativi ed illiquidi (EE. Srl, FF. Srl, Sorgente GG.-Fondo HH.), generando ingenti perdite alla Sante Sede”. Se- condo le autorità vaticane, “le indagini in corso hanno consentito di verificare che l’operazione di B. è stata effettuata in complicità con funzionari della Segre- teria di Stato, che venivano informati dallo stesso sulla gestione del Fondo e sui relativi risultati economici, nonché con altri soggetti” (act. 11.1, pag. 6). Data la natura dei reati contestati a B., tutta la documentazione bancaria litigiosa deve essere messa a disposizione dell'autorità rogante, affinché questa abbia una</w:t>
      </w:r>
    </w:p>
    <w:p>
      <w:r>
        <w:t>- 9 -</w:t>
      </w:r>
    </w:p>
    <w:p>
      <w:r>
        <w:t>visione completa dei flussi di denaro intervenuti sul conto oggetto del sequestro, anche in relazione a operazioni intervenute prima dell’operazione immobiliare londinese. L'autorità d'esecuzione ha del resto elencato tutta una serie di adde- biti e accrediti di somme importanti intervenuti sulla relazione della ricorrente che devono essere analizzati e approfonditi dalle autorità vaticane, per verifi- care l'eventuale esistenza di altre operazioni sospette (v. act. 1.2, pag. 10 e segg.).</w:t>
      </w:r>
    </w:p>
    <w:p>
      <w:r>
        <w:t>Spetterà comunque al giudice estero del merito chinarsi sulle contestazioni dei fatti e/o reati formulate dalla ricorrente nonché valutare se dalla documenta- zione inoltrata emerge in concreto una connessione penalmente rilevante fra i fatti oggetto della procedura penale nella Città del Vaticano e detta documen- tazione. Alla luce della domanda rogatoriale risulta che tutta la documentazione litigiosa è potenzialmente utile per l’inchiesta, motivo per cui la sua trasmissione rispetta il principio della proporzionalità e non costituisce una fishing expedition.</w:t>
      </w:r>
    </w:p>
    <w:p>
      <w:r>
        <w:rPr>
          <w:b/>
        </w:rPr>
        <w:t>E. 4</w:t>
      </w:r>
    </w:p>
    <w:p>
      <w:r>
        <w:t>L'autorità che entra nel merito di una domanda d'assistenza giudiziaria interna- zionale e, in esecuzione della stessa, ordina un sequestro, deve verificare che tale provvedimento abbia un legame sufficientemente stretto con i fatti esposti nella domanda e non sia manifestamente sproporzionato per rapporto all’og- getto di quest'ultima (DTF 130 II 329 consid. 3; sentenza del Tribunale federale 1C_513/2010 dell'11 marzo 2011 consid. 3.3). Lo Stato richiedente deve co- munque apportare elementi che dimostrino, almeno a prima vista, che i conti per i quali si chiede il sequestro siano effettivamente stati utilizzati per trasferire fondi di cui si sospetta l’origine delittuosa (DTF 130 II 329 consid. 5.1 e riferi- menti ivi citati).</w:t>
      </w:r>
    </w:p>
    <w:p>
      <w:r>
        <w:t>Ebbene, visto quanto esposto in precedenza (v. supra consid. 3.2) nonché il danno globale di non meno di EUR 300 milioni indicato dall’autorità rogante (v. supra consid. 2.1.2), importo decisamente superiore ai valori qui sequestrati, è senz'altro possibile concludere che esistono elementi sufficienti per confer- mare il sequestro della relazione intestata alla ricorrente. Il potenziale nesso fra il denaro sequestrato e i reati contestati a B. è dato: toccherà poi all'autorità estera accertare se il denaro in questione è effettivamente di origine illecita. In caso affermativo, esso potrebbe fare l'oggetto di una decisione di confisca o di restituzione all'avente diritto nello Stato richiedente (v. art. 74a cpv. 1 e 2 AIMP nonché DTF 123 II 134 consid. 5c; 123 II 268 consid. 4; 123 II 595 consid. 3). In definitiva, il sequestro litigioso deve essere mantenuto di principio sino alla notifica di una decisione definitiva ed esecutiva dello Stato richiedente o fintanto che quest'ultimo non abbia comunicato che una tale decisione non può più es- sere pronunciata (art. 74a cpv. 3 AIMP e 33a OAIMP; TPF 2007 124 consid. 8 e rinvii), ferma restando la necessità che la procedura all'estero avanzi (DTF 126 II 462 consid. 5e). La ricorrente non ha peraltro sostanziato nessuno</w:t>
      </w:r>
    </w:p>
    <w:p>
      <w:r>
        <w:t>- 10 -</w:t>
      </w:r>
    </w:p>
    <w:p>
      <w:r>
        <w:t>sproporzionato pregiudizio economico cagionato dal sequestro, per cui anche da questo punto di vista la misura in questione non presenta sostanziali criticità. Ne consegue che il sequestro va confermato e la relativa censura respinta.</w:t>
      </w:r>
    </w:p>
    <w:p>
      <w:r>
        <w:rPr>
          <w:b/>
        </w:rPr>
        <w:t>E. 5</w:t>
      </w:r>
    </w:p>
    <w:p>
      <w:r>
        <w:t>Nella misura in cui non si vede come l’acquisizione degli incarti RR.2019.327 e RR.2020.44-45 possa modificare le predette conclusioni, la relativa richiesta va respinta. Inoltre, essendo la procedura dinanzi a questa Corte di principio scritta e avendo la ricorrente potuto esprimersi sufficientemente nell’ambito della pre- sente procedura, pure da disattendere è la sua domanda di audizione per via rogatoriale o videoconferenza formulata in sede di replica, dato che non si vede quali elementi probatori di rilievo potrebbero essere in tal modo apportati.</w:t>
      </w:r>
    </w:p>
    <w:p>
      <w:r>
        <w:rPr>
          <w:b/>
        </w:rPr>
        <w:t>E. 6</w:t>
      </w:r>
    </w:p>
    <w:p>
      <w:r>
        <w:t>In definitiva, preso altresì atto del ritiro parziale del gravame formulato con scritto del 18 settembre 2020 (v. act. 4), la decisione impugnata va confermata e il gravame integralmente respinto, nella misura della sua ammissibilità.</w:t>
      </w:r>
    </w:p>
    <w:p>
      <w:r>
        <w:rPr>
          <w:b/>
        </w:rPr>
        <w:t>E. 7</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3'000.–, a carico dei ricorrenti in solido; essa è coperta dall'anticipo delle spese del medesimo importo già versato.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