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RR.2020.210 vom 10. November 2020</w:t>
      </w:r>
    </w:p>
    <w:p>
      <w:r>
        <w:t>Bundesstrafgericht, 2020-11-10, IT</w:t>
      </w:r>
    </w:p>
    <w:p>
      <w:r>
        <w:rPr>
          <w:b/>
        </w:rPr>
        <w:t xml:space="preserve">Quelle: </w:t>
      </w:r>
      <w:r>
        <w:t>https://mcp.opencaselaw.ch/entscheid/bstger_RR.2020.210</w:t>
      </w:r>
    </w:p>
    <w:p>
      <w:r>
        <w:t>FR: TPF RR.2020.210 du 10 novembre 2020</w:t>
      </w:r>
    </w:p>
    <w:p>
      <w:r>
        <w:t>IT: TPF RR.2020.210 del 10 novembre 2020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w:t>
      </w:r>
    </w:p>
    <w:p>
      <w:r>
        <w:t>- 4 -</w:t>
      </w:r>
    </w:p>
    <w:p>
      <w:r>
        <w:t>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dell’autorità fede- rale d’esecuzione, il ricorso è ricevibile sotto il profilo degli art. 25 cpv. 1, 80e cpv. 1 e 80k AIMP. Nella misura in cui la ricorrente contesta la trasmissione all’estero di documentazione sequestrata in locali (la sua sede e un suo appar- tamento) di cui è conduttrice, la legittimazione è data (v. art. 9a lett. b OAIMP; DTF 137 IV 134 consid. 6.2; sentenze del Tribunale penale federale RR.2016.277 del 7 febbraio 2017 consid. 1.5.2; RR.2015.289-290 del 13 aprile 2016 consid. 2.2.1).</w:t>
      </w:r>
    </w:p>
    <w:p>
      <w:r>
        <w:rPr>
          <w:b/>
        </w:rPr>
        <w:t>E. 2</w:t>
      </w:r>
    </w:p>
    <w:p>
      <w:r>
        <w:t>Il ricorrente sostiene che la domanda di assistenza sarebbe incomprensibile ri- guardo ai fatti di rilevanza penale mossi nei confronti dei soggetti indagati. Tale confusione si rifletterebbe nella motivazione della decisione impugnata.</w:t>
      </w:r>
    </w:p>
    <w:p>
      <w:r>
        <w:t>- 5 -</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 dente l'obbligo di provare la commissione del reato, ma solo quello di esporre in modo sufficiente le circostanze sulle quali fonda i propri sospetti, per permet- 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In concreto, dal contenuto della rogatoria emerge che la Procura di Bologna sta conducendo un procedimento penale a carico di svariate persone che avreb- bero commesso un’ingente frode fiscale nel settore dell’IVA (v. supra Fatti lett. A). Tra i promotori e organizzatori della frode spiccherebbero il ricorrente e C., coadiuvati nella loro attività da una serie di persone elencate nella rogatoria. I fatti concernerebbero un meccanismo di frode estremamente diffuso che avrebbe permesso di generare profitti molto alti in capo all’organizzazione e un danno molto elevato per lo Stato. Il provento dei reati, tramite tutta una serie di soggetti prestanome a cui sarebbero stati intestati conti correnti e/o carte pre- pagate, sarebbe stato reimpiegato mediante i più disparati canali, in diverse occasioni anche spostando i valori patrimoniali in altri Paesi, tra cui la Svizzera. La perquisizione della società F. S.r.l., rappresentata legalmente dalla compa- gna di C., ha permesso di rinvenire, tra l’altro, documenti che riconducono al ricorrente la titolarità della G. SA di Zurigo, società coinvolta nelle indagini ita- liane. Gli accertamenti svolti hanno consentito di ritenere che i soggetti indagati, e persone ad essi collegate, svolgerebbero attività anche attraverso società di diritto svizzero con scopo sociale analogo a quelle italiane, ossia quasi sempre “consulenza alle imprese” e “compravendita di immobili”, come ad esempio A. AG, H. Sagl, G. SA, ecc. L’autorità estera ipotizza che gli indagati stiano rein- vestendo i profitti della frode in attività imprenditoriali sul territorio elvetico, so- prattutto nel settore immobiliare. Tale tesi investigativa sarebbe rafforzata dal fatto che i controlli di polizia, dalla fine del 2018 ad oggi, hanno registrato un frequente transito del confine italo-svizzero da parte degli indagati e dei soggetti</w:t>
      </w:r>
    </w:p>
    <w:p>
      <w:r>
        <w:t>- 6 -</w:t>
      </w:r>
    </w:p>
    <w:p>
      <w:r>
        <w:t>collegati. I sospetti sarebbero avvalorati dalla circostanza che, anche più recen- temente (da settembre ad oggi), sono stati registrati numerosi spostamenti/pre- senze nella città di Lugano dei medesimi soggetti che, nei loro spostamenti, da e verso l’Italia, hanno prevalentemente utilizzato determinati veicoli. Per quanto riguarda più da vicino i ruoli degli indagati, C. e il ricorrente avrebbero assunto le scelte di rilevanza strategica, organizzative e operative dell’associazione, ov- vero la nomina degli amministratori, l’individuazione dei beni da acquistare alle aste e la gestione delle risorse finanziarie. La loro attività sarebbe risultata fon- damentale nella gestione delle operazioni immobiliari generatrici dei crediti ine- sistenti, realizzate mediante l’impiego di società attraverso cui sarebbe stata veicolata la circolazione dei beni (“caroselli immobiliari”) in un vortice di fattura- zioni “gonfiate”. Le perquisizioni eseguite presso le loro abitazioni e i loro uffici avrebbero permesso di rinvenire veri e propri planning, in cui sarebbero indicati gli immobili da acquisire, il prezzo d’acquisto, il valore della supervalutazione dei medesimi, le prospettive di sviluppo in termini di remunerazione derivante dalla loro successiva cessione a valori sovrastimati con generazione di esorbi- tanti e ingiustificati crediti IVA da reimpiegare per le illecite compensazioni sus- seguenti agli accolli. C. e il ricorrente avrebbero svolto attività di pianificazione, beneficiando in maniera predominante dell’intero sistema fraudolento, nel quale avrebbero ricoperto indubbiamente “ruoli di vertice”. Secondo l’autorità rogante “proprio in merito ai reati-fine, le indagini hanno fatto emergere chiaramente come il meccanismo criminoso descritto ha previsto la creazione di crediti fittizi mediante operazioni societarie di conferimento, compravendita e permuta di im- mobili acquistati alle aste giudiziarie su tutto il territorio nazionale, alimentando l'illecito e remunerativo business degli "accolli tributari", impropriamente utiliz- zati per realizzare un vertiginoso carosello, che ha permesso di compensare — con crediti I.V.A. inesistenti, artificiosamente creati in capo agli accollanti fattu- rando operazioni di conferimenti immobiliari a valori sovrastimati — debiti di im- posta di pertinenza dei terzi, con un rilevantissimo danno per l'erario in termini di imposta evasa” (atto 01-00-0005 incarto MPC). Essa conclude che “ad oggi è sicuramente possibile sostenere che, oltre che reinvestire o nascondere alle Autorità italiane il profitto dei reati già consumati in Italia, non si può escludere che gli indagati si stiano riorganizzando (anche sotto il profilo imprenditoriale) per riproporre in altro Stato un nuovo meccanismo di frode. A riguardo oltre che in Svizzera i loro interessi — dalle risultanze agli atti — si sono espansi anche verso altri paesi limitrofi quali Austria, Croazia e Serbia” (atto 01-00-0006 incarto MPC).</w:t>
      </w:r>
    </w:p>
    <w:p>
      <w:r>
        <w:t>Quanto precede, unitamente ad altri dettagli forniti nella rogatoria, soddisfa le esigenze normative e giurisprudenziali poste in materia di esposto dei fatti e ha permesso alla ricorrente di comprendere le ragioni per cui l'autorità rogante è interessata ai documenti oggetto della decisione impugnata e di determinarsi compiutamente in proposito. Non spetta al giudice dell’assistenza approfondire ulteriormente la fattispecie oggetto d’inchiesta, tantomeno ottenere le prove dei</w:t>
      </w:r>
    </w:p>
    <w:p>
      <w:r>
        <w:t>- 7 -</w:t>
      </w:r>
    </w:p>
    <w:p>
      <w:r>
        <w:t>contestati reati. Sarà proprio la documentazione litigiosa a permettere all’auto- rità estera di progredire nella sua attività investigativa e di acclarare ulterior- mente le condotte mosse a carico dei soggetti indagati. Le censure vanno dun- que respinte.</w:t>
      </w:r>
    </w:p>
    <w:p>
      <w:r>
        <w:rPr>
          <w:b/>
        </w:rPr>
        <w:t>E. 3</w:t>
      </w:r>
    </w:p>
    <w:p>
      <w:r>
        <w:t>Visto quanto precede, la decisione di chiusura del 4 agosto 2020 e quella di entrata nel merito del 10 marzo 2020 vanno confermate e il gravame integral- mente respinto.</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