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RR.2020.197 vom 4. November 2020</w:t>
      </w:r>
    </w:p>
    <w:p>
      <w:r>
        <w:t>Bundesstrafgericht, 2020-11-04, IT</w:t>
      </w:r>
    </w:p>
    <w:p>
      <w:r>
        <w:rPr>
          <w:b/>
        </w:rPr>
        <w:t xml:space="preserve">Quelle: </w:t>
      </w:r>
      <w:r>
        <w:t>https://mcp.opencaselaw.ch/entscheid/bstger_RR.2020.197</w:t>
      </w:r>
    </w:p>
    <w:p>
      <w:r>
        <w:t>FR: TPF RR.2020.197 du 4 novembre 2020</w:t>
      </w:r>
    </w:p>
    <w:p>
      <w:r>
        <w:t>IT: TPF RR.2020.197 del 4 novembre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w:t>
      </w:r>
    </w:p>
    <w:p>
      <w:r>
        <w:t>- 5 -</w:t>
      </w:r>
    </w:p>
    <w:p>
      <w:r>
        <w:t>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Tuttavia, la ricevibilità del gravame presuppone anche che esso provenga da un soggetto legittimato a ricorrere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 mente e direttamente toccato da una misura di assistenza giudiziaria interna- zionale, il ricorrente deve avere un legame sufficientemente stretto con la deci- sione litigiosa (DTF 123 II 161 consid. 1 d/aa).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 retta, come ad esempio il mero avente diritto economico di un conto bancario, non possono impugnare tali provvedimenti (DTF 137 IV 134 consid. 5.2.1 e 122 II 130 consid. 2b e rinvii). Per lo stesso motivo, nel caso di documenti in pos- sesso di terzi, soltanto questi ultimi in quanto loro possessori possono conte- stare il sequestro degli stessi, anche se i documenti in questione concernono un’altra persona contro la quale è pendente un procedimento penale estero (DTF 123 II 161 consid. 1d; 116 Ib 106 consid. 2a; TPF 2007 79 consid. 1.6).</w:t>
      </w:r>
    </w:p>
    <w:p>
      <w:r>
        <w:t>In concreto, nella misura in cui il ricorrente è titolare della relazione n. 1 presso la banca E., la legittimazione è data. Per quanto attiene alla documentazione e agli oggetti sequestrati presso l’appartamento a Massagno e nei locali presso la sede di D. SA in uso al predetto, gli atti dell’incarto non permettono di verifi- care che il ricorrente è il proprietario o il locatario degli stessi. La questione non necessita comunque di essere approfondita, nella misura in cui il gravame deve in ogni caso essere respinto per i motivi che seguono.</w:t>
      </w:r>
    </w:p>
    <w:p>
      <w:r>
        <w:t>- 6 -</w:t>
      </w:r>
    </w:p>
    <w:p>
      <w:r>
        <w:rPr>
          <w:b/>
        </w:rPr>
        <w:t>E. 2</w:t>
      </w:r>
    </w:p>
    <w:p>
      <w:r>
        <w:t>Il ricorrente sostiene che la domanda di assistenza difetti di qualsiasi riferimento concreto ai fatti addebitati agli indagati. Nessuna circostanza di tempo o di luogo sarebbe stata fornita riguardo alle uniche fattispecie che avrebbero rilevanza in quanto potenzialmente sussumibili a una frode o a una truffa fiscale.</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In concreto, dal contenuto della rogatoria emerge che la Procura di Bologna sta conducendo un procedimento penale a carico di svariate persone che avreb- bero commesso un’ingente frode fiscale nel settore dell’IVA (v. supra Fatti lett. A). Tra i promotori e organizzatori della frode spiccherebbero il ricorrente e B., coadiuvati nella loro attività da una serie di persone elencate nella rogatoria. I fatti concernerebbero un meccanismo di frode estremamente diffuso che avrebbe permesso di generare profitti molto alti in capo all’organizzazione e un danno molto elevato per lo Stato. Il provento dei reati, tramite tutta una serie di soggetti prestanome a cui sarebbero stati intestati conti correnti e/o carte pre- pagate, sarebbe stato reimpiegato mediante i più disparati canali, in diverse occasioni anche spostando i valori patrimoniali in altri Paesi, tra cui la Svizzera. La perquisizione della società F. S.r.l., rappresentata legalmente dalla compa- gna di B., ha permesso di rinvenire, tra l’altro, documenti che riconducono al ricorrente la titolarità della G. SA di Zurigo, società coinvolta nelle indagini ita- liane. Gli accertamenti svolti hanno consentito di ritenere che i soggetti indagati, e persone ad essi collegate, svolgerebbero attività anche attraverso società di diritto svizzero con scopo sociale analogo a quelle italiane, ossia quasi sempre “consulenza alle imprese” e “compravendita di immobili”, come ad esempio H. AG, I., G., ecc. L’autorità estera ipotizza che gli indagati stiano reinvestendo</w:t>
      </w:r>
    </w:p>
    <w:p>
      <w:r>
        <w:t>- 7 -</w:t>
      </w:r>
    </w:p>
    <w:p>
      <w:r>
        <w:t>i profitti della frode in attività imprenditoriali sul territorio elvetico, soprattutto nel settore immobiliare. Tale tesi investigativa sarebbe rafforzata dal fatto che i con- trolli di polizia, dalla fine del 2018 ad oggi, hanno registrato un frequente transito del confine italo-svizzero da parte degli indagati e dei soggetti collegati. I so- spetti sarebbero avvalorati dalla circostanza che, anche più recentemente (da settembre ad oggi), sono stati registrati numerosi spostamenti/presenze nella città di Lugano dei medesimi soggetti che, nei loro spostamenti, da e verso l’Ita- lia, hanno prevalentemente utilizzato determinati veicoli. Per quanto riguarda più da vicino i ruoli degli indagati, B. e il ricorrente avrebbero assunto le scelte di rilevanza strategica, organizzative e operative dell’associazione, ovvero la nomina degli amministratori, l’individuazione dei beni da acquistare alle aste e la gestione delle risorse finanziarie. La loro attività sarebbe risultata fondamen- tale nella gestione delle operazioni immobiliari generatrici dei crediti inesistenti, realizzate mediante l’impiego di società attraverso cui sarebbe stata veicolata la circolazione dei beni (“caroselli immobiliari”) in un vortice di fatturazioni “gon- fiate”. Le perquisizioni eseguite presso le loro abitazioni e uffici avrebbero per- messo di rinvenire veri e propri planning, in cui sarebbero indicati gli immobili da acquisire, il prezzo d’acquisto, il valore della supervalutazione dei medesimi, le prospettive di sviluppo in termini di remunerazione derivante dalla loro suc- cessiva cessione a valori sovrastimati con generazione di esorbitanti e ingiusti- ficati crediti IVA da reimpiegare per le illecite compensazioni susseguenti agli accolli. B. e il ricorrente avrebbero svolto attività di pianificazione, beneficiando in maniera predominante dell’intero sistema fraudolento, nel quale avrebbero ricoperto indubbiamente “ruoli di vertice”. Secondo l’autorità rogante “proprio in merito ai reati-fine, le indagini hanno fatto emergere chiaramente come il mec- canismo criminoso descritto ha previsto la creazione di crediti fittizi mediante operazioni societarie di conferimento, compravendita e permuta di immobili ac- quistati alle aste giudiziarie su tutto il territorio nazionale, alimentando l'illecito e remunerativo business degli "accolli tributari", impropriamente utilizzati per rea- lizzare un vertiginoso carosello, che ha permesso di compensare — con crediti I.V.A. inesistenti, artificiosamente creati in capo agli accollanti fatturando ope- razioni di conferimenti immobiliari a valori sovrastimati — debiti di imposta di pertinenza dei terzi, con un rilevantissimo danno per l'erario in termini di imposta evasa” (atto 01-00-0005 incarto MPC). Essa conclude che “ad oggi è sicura- mente possibile sostenere che, oltre che reinvestire o nascondere alle Autorità italiane il profitto dei reati già consumati in Italia, non si può escludere che gli indagati si stiano riorganizzando (anche sotto il profilo imprenditoriale) per ri- proporre in altro Stato un nuovo meccanismo di frode. A riguardo oltre che in Svizzera i loro interessi — dalle risultanze agli atti — si sono espansi anche verso altri paesi limitrofi quali Austria, Croazia e Serbia” (atto 01-00-0006 incarto MPC).</w:t>
      </w:r>
    </w:p>
    <w:p>
      <w:r>
        <w:t>Quanto precede, unitamente ad altri dettagli forniti nella rogatoria, soddisfa le esigenze normative e giurisprudenziali poste in materia di esposto dei fatti e ha</w:t>
      </w:r>
    </w:p>
    <w:p>
      <w:r>
        <w:t>- 8 -</w:t>
      </w:r>
    </w:p>
    <w:p>
      <w:r>
        <w:t>permesso al ricorrente di comprendere le ragioni per cui l'autorità rogante è interessata ai valori e ai documenti oggetto delle decisioni impugnate e di de- terminarsi compiutamente in proposito, precisato che la recente sostituzione del suo patrocinatore, che ha dovuto chinarsi sulla fattispecie a procedura rogato- riale inoltrata, nulla muta a tale conclusione. Le censure in questo ambito vanno dunque respinte.</w:t>
      </w:r>
    </w:p>
    <w:p>
      <w:r>
        <w:rPr>
          <w:b/>
        </w:rPr>
        <w:t>E. 3</w:t>
      </w:r>
    </w:p>
    <w:p>
      <w:r>
        <w:t>L’insorgente sostiene che l’esposto dei fatti presentato nella rogatoria non per- metterebbe di verificare il rispetto del principio della doppia punibilità, per tacere del fatto che taluni reati indicati dalle autorità italiane o non troverebbero il loro corrispettivo nella legislazione svizzera o non permetterebbero la concessione dell’assistenza o la permetterebbero solo a determinate condizioni.</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tuttavia di rifiutare l'assistenza giudiziaria segna- tamente 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Per</w:t>
      </w:r>
    </w:p>
    <w:p>
      <w:r>
        <w:t>- 9 -</w:t>
      </w:r>
    </w:p>
    <w:p>
      <w:r>
        <w:t>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 stenza di un inganno astuto. In determinate circostanze anche false informa- zioni la cui verifica non è possibile, è difficile o non è ragionevolmente esigibile possono costituire un inganno astuto, come pure se il truffatore dissuade la vit- tima dall'effettuare una verifica o prevede, date le circostanze, che essa rinun- cerà a farlo in virtù, segnatamente, di un particolare rapporto di fiducia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w:t>
      </w:r>
    </w:p>
    <w:p>
      <w:r>
        <w:t>- 10 -</w:t>
      </w:r>
    </w:p>
    <w:p>
      <w:r>
        <w:t>pag. 135, 147 e seg.; sentenza del Tribunale penale federale RR.2010.262 dell’11 giugno 2012 consid. 1.2.2).</w:t>
      </w:r>
    </w:p>
    <w:p>
      <w:r>
        <w:rPr>
          <w:b/>
        </w:rPr>
        <w:t>E. 3.2</w:t>
      </w:r>
    </w:p>
    <w:p>
      <w:r>
        <w:t>In concreto, non occorre chinarsi diffusamente e in maniera specifica sulla que- stione di sapere se i fatti così come descritti nella commissione rogatoria adem- piano o meno i presupposti oggettivi e soggettivi del reato di truffa in materia fiscale ex art. 14 cpv. 2 DPA, poiché alla presente fattispecie torna per l’appunto applicabile l'art. 50 n. 1 CAS (cfr. WYSS, Neuerungen im Bereich der justiziellen Zusammenarbeit in Strafsachen im Rahmen von Schengen, in Breitenmo- ser/Gless/Lagodny [ed.], Schengen in der Praxis, Erfahrungen und Ausblicke, 2009, pag. 338; MOREILLON, La coopération judiciaire pénale dans l'Espace Schengen, in Moreillon [ed.], Aspects pénaux des Accords bilatéraux Suisse/Union européenne, 2008, pag. 438 e 470 e seg.; PEDROLI, Lo scambio di informazioni fiscali (assistenza amministrativa e giudiziaria) negli Accordi bi- laterali II, in Accordi bilaterali Svizzera – Unione europea, Atti della giornata di studio del 4 giugno 2007, Commissione ticinese per la formazione permanente dei giuristi [CFPG], Collana rossa vol. 23, 2009, pag. 76-77). Le esigenze sup- plementari richieste dalla giurisprudenza per evitare abusi in materia (v. TPF 2008 128 consid. 5.5 e rinvii) non sono qui di particolare momento. I fatti descritti nella commissione rogatoria possono configurare, prima facie, i reati previsti dagli art. 96 - 106 della legge federale del 12 giugno 2009 concernente l'imposta sul valore aggiunto (LIVA). Inoltre, secondo la giurisprudenza, la cosiddetta "truffa carosello" configura il reato di cui all'art. 146 CP (cfr. sentenze del Tribu- nale federale 1A.189/2001 del 22 febbraio 2002 consid. 5; 1A.189/2002 del 28 ottobre 2002 consid. 2 e 3; 1A.297/2005 del 13 gennaio 2006 consid. 3; TPF 2007 150 consid. 3.3 e 3.5). La doppia punibilità è dunque certamente data.</w:t>
      </w:r>
    </w:p>
    <w:p>
      <w:r>
        <w:rPr>
          <w:b/>
        </w:rPr>
        <w:t>E. 4</w:t>
      </w:r>
    </w:p>
    <w:p>
      <w:r>
        <w:t>In definitiva, le decisioni impugnate vanno confermate e il gravame integral- mente respinto, nella misura della sua ammissibilità.</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