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RR.2020.194 vom 7. Oktober 2020</w:t>
      </w:r>
    </w:p>
    <w:p>
      <w:r>
        <w:t>Bundesstrafgericht, 2020-10-07, DE</w:t>
      </w:r>
    </w:p>
    <w:p>
      <w:r>
        <w:rPr>
          <w:b/>
        </w:rPr>
        <w:t xml:space="preserve">Quelle: </w:t>
      </w:r>
      <w:r>
        <w:t>https://mcp.opencaselaw.ch/entscheid/bstger_RR.2020.194</w:t>
      </w:r>
    </w:p>
    <w:p>
      <w:r>
        <w:t>FR: TPF RR.2020.194 du 7 octobre 2020</w:t>
      </w:r>
    </w:p>
    <w:p>
      <w:r>
        <w:t>IT: TPF RR.2020.194 del 7 ottobre 2020</w:t>
      </w:r>
    </w:p>
    <w:p>
      <w:pPr>
        <w:pStyle w:val="Heading2"/>
      </w:pPr>
      <w:r>
        <w:t>Regeste</w:t>
      </w:r>
    </w:p>
    <w:p>
      <w:r>
        <w:t>Internationale Rechtshilfe in Strafsachen an Schweden. Herausgabe von Beweismitteln (Art. 74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Juli 2020 die Herausgabe des Einvernahmeprotokolls vom 27. Mai 2020 und des Berichts der Kantonspolizei Schwyz vom 4. Juni 2020 an die ersu- chende Behörde anordnete (act. 1.2);</w:t>
      </w:r>
    </w:p>
    <w:p>
      <w:r>
        <w:t>- A. dagegen mit Eingabe vom 13. August 2020 Beschwerde bei der Be- schwerdekammer des Bundesstrafgerichts erheben liess (act. 1);</w:t>
      </w:r>
    </w:p>
    <w:p>
      <w:r>
        <w:t>- der Beschwerdeführer mit Schreiben vom 14. August 2020 eingeladen wurde, bis 27. August 2020 einen Kostenvorschuss von Fr. 5'000.-- zu leis- ten (act. 3);</w:t>
      </w:r>
    </w:p>
    <w:p>
      <w:r>
        <w:t>- der Rechtsvertreter des Beschwerdeführers das Gericht mit Schreiben vom 27. August 2020 und 7. September 2020 um Erstreckung der Frist zur Leis- tung des Kostenvorschusses um 20 bzw. 10 Tage ersuchte (act. 4, 5);</w:t>
      </w:r>
    </w:p>
    <w:p>
      <w:r>
        <w:t>- das Gericht die Fristerstreckung zuletzt mit Faxschreiben vom 8. September 2020 bis zum 21. September 2020 (letztmals) bewilligte (act. 5);</w:t>
      </w:r>
    </w:p>
    <w:p>
      <w:r>
        <w:t>- der angeforderte Kostenvorschuss dem Konto der Bundesstrafgerichtskasse am 22. September 2020 gutgeschrieben wurde (act. 6);</w:t>
      </w:r>
    </w:p>
    <w:p>
      <w:r>
        <w:t>- dem Beschwerdeführer mit Schreiben vom 24. September 2020 die Möglich- keit eingeräumt wurde, die Rechtzeitigkeit der geleisteten Zahlung nachzu- weisen (act. 7);</w:t>
      </w:r>
    </w:p>
    <w:p>
      <w:r>
        <w:t>- der Rechtsvertreter des Beschwerdeführers das Gericht mit Schreiben vom 30. September 2020 um Erstreckung der Frist zur Erbringung des Nachwei- ses der Rechtzeitigkeit der geleisteten Zahlung um 20 Tage ersuchte (act. 8);</w:t>
      </w:r>
    </w:p>
    <w:p>
      <w:r>
        <w:t>- das Gericht die Fristerstreckung mit Faxschreiben vom 1. Oktober 2020 bis zum 5. Oktober 2020 bewilligte (act. 8);</w:t>
      </w:r>
    </w:p>
    <w:p>
      <w:r>
        <w:t>- der Beschwerdeführer seine Beschwerde mit Schreiben vom 5. Oktober 2020 zurückzog (act. 9);</w:t>
      </w:r>
    </w:p>
    <w:p>
      <w:r>
        <w:t>- 3 -</w:t>
      </w:r>
    </w:p>
    <w:p>
      <w:r>
        <w:t>- das Beschwerdeverfahren daher zufolge Rückzugs der Beschwerde als er- ledigt abzuschreiben ist;</w:t>
      </w:r>
    </w:p>
    <w:p>
      <w:r>
        <w:t>- die beschwerdeführende Partei, die ihre Beschwerde zurückzieht, grund- sätzlich als unterliegende Partei zu gelten und folglich gemäss Art. 63 Abs. 1 VwVG i.V.m. Art. 39 Abs. 2 lit. b und Art. 37 Abs. 2 lit. a StBOG die Gerichts- kosten zu tragen hat (Entscheid des Bundesstrafgerichts RR.2015.269 vom 25. November 2015);</w:t>
      </w:r>
    </w:p>
    <w:p>
      <w:r>
        <w:t>- die Gerichtsgebühr auf Fr. 500.-- festzusetzen ist (vgl. Art. 63 Abs. 5 VwVG i.V.m. Art. 73 StBOG und Art. 5 und 8 Abs. 3 lit. b des Reglements des Bun- desstrafgerichts vom 31. August 2010 über die Kosten, Gebühren und Ent- schädigungen in Bundesstrafverfahren [BStKR; SR 173.713.162]), unter An- rechnung des entsprechenden Betrages am geleisteten Kostenvorschuss von Fr. 5‘000.--;</w:t>
      </w:r>
    </w:p>
    <w:p>
      <w:r>
        <w:t>- die Bundesstrafgerichtskasse anzuweisen ist, dem Beschwerdeführer Fr. 4‘500.-- zurückzuerstatten.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