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RR.2020.193 vom 27. August 2020</w:t>
      </w:r>
    </w:p>
    <w:p>
      <w:r>
        <w:t>Bundesstrafgericht, 2020-08-27, DE</w:t>
      </w:r>
    </w:p>
    <w:p>
      <w:r>
        <w:rPr>
          <w:b/>
        </w:rPr>
        <w:t xml:space="preserve">Quelle: </w:t>
      </w:r>
      <w:r>
        <w:t>https://mcp.opencaselaw.ch/entscheid/bstger_RR.2020.193</w:t>
      </w:r>
    </w:p>
    <w:p>
      <w:r>
        <w:t>FR: TPF RR.2020.193 du 27 août 2020</w:t>
      </w:r>
    </w:p>
    <w:p>
      <w:r>
        <w:t>IT: TPF RR.2020.193 del 27 agosto 2020</w:t>
      </w:r>
    </w:p>
    <w:p>
      <w:pPr>
        <w:pStyle w:val="Heading2"/>
      </w:pPr>
      <w:r>
        <w:t>Regeste</w:t>
      </w:r>
    </w:p>
    <w:p>
      <w:r>
        <w:t>Internationale Rechtshilfe in Strafsachen an Deutschland. Anfechtung einer Zwischenverfügung (Art. 80e Abs. 2 IRSG).</w:t>
      </w:r>
    </w:p>
    <w:p>
      <w:pPr>
        <w:pStyle w:val="Heading2"/>
      </w:pPr>
      <w:r>
        <w:t>Volltext</w:t>
      </w:r>
    </w:p>
    <w:p>
      <w:r>
        <w:t>Entscheid vom 27. August 2020 Beschwerdekammer Besetzung</w:t>
      </w:r>
    </w:p>
    <w:p>
      <w:r>
        <w:t>Bundesstrafrichter Roy Garré, Vorsitz, Cornelia Cova und Stephan Blättler, Gerichtsschreiber Martin Eckner</w:t>
      </w:r>
    </w:p>
    <w:p>
      <w:r>
        <w:t>Parteien</w:t>
      </w:r>
    </w:p>
    <w:p>
      <w:r>
        <w:t>A., vertreten durch Rechtsanwältin Katja Ammann, Beschwerdeführer</w:t>
      </w:r>
    </w:p>
    <w:p>
      <w:r>
        <w:t>gegen</w:t>
      </w:r>
    </w:p>
    <w:p>
      <w:r>
        <w:t>STAATSANWALTSCHAFT III des Kantons Zürich, Beschwerdegegnerin</w:t>
      </w:r>
    </w:p>
    <w:p>
      <w:r>
        <w:t>Gegenstand</w:t>
      </w:r>
    </w:p>
    <w:p>
      <w:r>
        <w:t>Internationale Rechtshilfe in Strafsachen an Deutschland</w:t>
      </w:r>
    </w:p>
    <w:p>
      <w:r>
        <w:t>Anfechtung einer Zwischenverfügung (Art. 80e Abs. 2 IRSG)</w:t>
      </w:r>
    </w:p>
    <w:p>
      <w:r>
        <w:t>B u n d e s s t r a f g e r i c h t T r i b u n a l p é n a l f é d é r a l T r i b u n a l e p e n a l e f e d e r a l e T r i b u n a l p e n a l f e d e r a l</w:t>
      </w:r>
    </w:p>
    <w:p>
      <w:r>
        <w:t>Geschäftsnummer: RR.2020.193</w:t>
      </w:r>
    </w:p>
    <w:p>
      <w:r>
        <w:t>- 2 -</w:t>
      </w:r>
    </w:p>
    <w:p>
      <w:r>
        <w:t>Die Beschwerdekammer zieht in Erwägung, dass</w:t>
      </w:r>
    </w:p>
    <w:p>
      <w:r>
        <w:t>– die Staatsanwaltschaft Frankfurt am Main (Deutschland) ein Strafverfahren gegen den deutschen und schweizerischen Staatsangehörigen A. wegen schweren sexuellen Missbrauchs eines Kindes führt;</w:t>
      </w:r>
    </w:p>
    <w:p>
      <w:r>
        <w:t>– Deutschland die Schweiz am 21. Februar 2019 ersuchte, bei A. nach den Regeln der ärztlichen Kunst eine Blutprobe zu entnehmen und zu übersen- den, ihn einzuvernehmen und erkennungsdienstlich zu behandeln;</w:t>
      </w:r>
    </w:p>
    <w:p>
      <w:r>
        <w:t>– die Staatsanwaltschaft III des Kantons Zürich am 3. Juni 2019 anordnete, vom bereits vorhandenen Wangenschleimhautabstrich ein DNA-Profil zu er- stellen;</w:t>
      </w:r>
    </w:p>
    <w:p>
      <w:r>
        <w:t>– A. diese Verfügung am 13. Juni 2019 gemäss ihrer Rechtsmittelbelehrung mit Beschwerde beim Obergericht des Kantons Zürich anfocht;</w:t>
      </w:r>
    </w:p>
    <w:p>
      <w:r>
        <w:t>– das Obergericht des Kantons Zürich mit Beschluss vom 7. August 2020 auf die Beschwerde nicht eintrat und die Sache zuständigkeitshalber der Be- schwerdekammer des Bundesstrafgerichts überwies;</w:t>
      </w:r>
    </w:p>
    <w:p>
      <w:r>
        <w:t>– die Beschwerdekammer A. am 12. August 2020 einlud, bis 24. August 2020 eine allfällige ergänzende Stellungnahme einzureichen sowie innert gleicher Frist einen Kostenvorschuss von Fr. 2'000.-- zu leisten;</w:t>
      </w:r>
    </w:p>
    <w:p>
      <w:r>
        <w:t>– die Frist zur Bezahlung des Kostenvorschusses gewahrt ist, wenn der Betrag rechtzeitig zu Gunsten der Behörde der schweizerischen Post übergeben oder einem Post- oder Bankkonto in der Schweiz belastet worden ist (Art. 21 Abs. 3 VwVG i.V.m. Art. 39 Abs. 2 lit. b StBOG [SR 173.71]);</w:t>
      </w:r>
    </w:p>
    <w:p>
      <w:r>
        <w:t>– der Beschwerdeführer bis dato den verlangten Kostenvorschuss nicht be- zahlte;</w:t>
      </w:r>
    </w:p>
    <w:p>
      <w:r>
        <w:t>– auf die Beschwerde daher androhungsgemäss nicht einzutreten ist (vgl. Art. 63 Abs. 4 VwVG i.V.m. Art. 39 Abs. 2 lit. b StBOG);</w:t>
      </w:r>
    </w:p>
    <w:p>
      <w:r>
        <w:t>– der Beschwerdeführer bei diesem Ausgang des Verfahrens kostenpflichtig wird (vgl. Art. 39 Abs. 2 lit. b StBOG i.V.m. Art. 63 Abs. 1 VwVG); die Ge- richtsgebühr nach dem Reglement vom 31. August 2010 des Bundesstraf- gerichts über die Kosten, Gebühren und Entschädigungen in Bundesstraf- verfahren (BStKR; SR 173.713.162) vorliegend auf Fr. 500.-- anzusetzen ist (vgl. Art. 63 Abs. 5 VwVG i.V.m. Art. 53 Abs. 2 lit. a StBOG).</w:t>
      </w:r>
    </w:p>
    <w:p>
      <w:r>
        <w:t>- 3 -</w:t>
      </w:r>
    </w:p>
    <w:p>
      <w:r>
        <w:t>Demnach erkennt die Beschwerdekammer:</w:t>
      </w:r>
    </w:p>
    <w:p>
      <w:r>
        <w:t>1. Auf die Beschwerde wird nicht eingetreten.</w:t>
      </w:r>
    </w:p>
    <w:p>
      <w:r>
        <w:t>2. Die Gerichtsgebühr von Fr. 500.-- wird dem Beschwerdeführer auferlegt.</w:t>
      </w:r>
    </w:p>
    <w:p>
      <w:r>
        <w:t>Bellinzona, 27. August 2020</w:t>
      </w:r>
    </w:p>
    <w:p>
      <w:r>
        <w:t>Im Namen der Beschwerdekammer des Bundesstrafgerichts</w:t>
      </w:r>
    </w:p>
    <w:p>
      <w:r>
        <w:t>Der Präsident: Der Gerichtsschreiber:</w:t>
      </w:r>
    </w:p>
    <w:p>
      <w:r>
        <w:t>Zustellung an</w:t>
      </w:r>
    </w:p>
    <w:p>
      <w:r>
        <w:t>- Rechtsanwältin Katja Ammann - Staatsanwaltschaft III des Kantons Zürich - Bundesamt für Justiz, Fachbereich Rechtshilfe</w:t>
      </w:r>
    </w:p>
    <w:p>
      <w:r>
        <w:t>Rechtsmittelbelehrung Gegen Entscheide auf dem Gebiet der internationalen Rechtshilfe in Strafsachen kann innert zehn Tagen nach der Eröffnung der vollständigen Ausfertigung beim Bundesgericht Beschwerde einge- reicht werden (Art. 100 Abs. 1 und 2 lit. b BGG). Gegen einen Entscheid auf dem Gebiet der internationalen Rechtshilfe in Strafsachen ist die Be- schwerde nur zulässig, wenn er eine Auslieferung, eine Beschlagnahme, eine Herausgabe von Ge- genständen oder Vermögenswerten oder eine Übermittlung von Informationen aus dem Geheimbe- 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 Gegen selbständig eröffnete Vor- und Zwischenentscheide über die Zuständigkeit und über Aus- standsbegehren ist die Beschwerde zulässig (Art. 92 Abs. 1 BGG). Diese Entscheide können später nicht mehr angefochten werden (Art. 92 Abs. 2 BGG). 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 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