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RR.2020.186 vom 16. Oktober 2020</w:t>
      </w:r>
    </w:p>
    <w:p>
      <w:r>
        <w:t>Bundesstrafgericht, 2020-10-16, IT</w:t>
      </w:r>
    </w:p>
    <w:p>
      <w:r>
        <w:rPr>
          <w:b/>
        </w:rPr>
        <w:t xml:space="preserve">Quelle: </w:t>
      </w:r>
      <w:r>
        <w:t>https://mcp.opencaselaw.ch/entscheid/bstger_RR.2020.186</w:t>
      </w:r>
    </w:p>
    <w:p>
      <w:r>
        <w:t>FR: TPF RR.2020.186 du 16 octobre 2020</w:t>
      </w:r>
    </w:p>
    <w:p>
      <w:r>
        <w:t>IT: TPF RR.2020.186 del 16 ottobre 2020</w:t>
      </w:r>
    </w:p>
    <w:p>
      <w:pPr>
        <w:pStyle w:val="Heading2"/>
      </w:pPr>
      <w:r>
        <w:t>Regeste</w:t>
      </w:r>
    </w:p>
    <w:p>
      <w:r>
        <w:t>Assistenza giudiziaria internazionale in materia penale all'Uruguay.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w:t>
      </w:r>
    </w:p>
    <w:p>
      <w:r>
        <w:t>- 4 -</w:t>
      </w:r>
    </w:p>
    <w:p>
      <w:r>
        <w:t>sull’organizzazione delle autorità penali della Confederazione [LOAP; RS 173.71] del 19 marzo 2010).</w:t>
      </w:r>
    </w:p>
    <w:p>
      <w:r>
        <w:rPr>
          <w:b/>
        </w:rPr>
        <w:t>E. 1.2</w:t>
      </w:r>
    </w:p>
    <w:p>
      <w:r>
        <w:t>Fra la Svizzera e l’Uruguay vige il Trattato d’estradizione fra la Svizzera e la Repubblica dell’Uruguay del 27 febbraio 1923, entrato in vigore il 15 luglio 1927 (RS 0.353.977.6; in seguito: il Trattato), il quale contiene alcune norme riguar- danti la cosiddetta piccola assistenza. Alle questioni che detto trattato non re- gola espressamente o implicitamente si applica l’AIMP, unitamente alla relativa ordinanza (OAIMP; RS 351.11; v. art. 1 cpv. 1 AIMP).</w:t>
      </w:r>
    </w:p>
    <w:p>
      <w:r>
        <w:rPr>
          <w:b/>
        </w:rPr>
        <w:t>E. 1.3</w:t>
      </w:r>
    </w:p>
    <w:p>
      <w:r>
        <w:t>Interposto tempestivamente contro la sopraccitata decisione di chiusura, il ri- corso è ricevibile sotto il profilo degli art. 25 cpv. 1, 80e cpv. 1 e 80k AIMP. Titolare della relazione bancaria oggetto della decisione contestata, il ricorrente è legittimato a ricorrere (v. art. 80h lett. b AIMP e art. 9a lett. a OAIMP, nonché DTF 137 IV 134 consid. 5.2.1; 130 II 162 consid. 1.1; 128 II 211 consid. 2.3; TPF 2007 79 consid. 1.6 pag. 82).</w:t>
      </w:r>
    </w:p>
    <w:p>
      <w:r>
        <w:t>Il ricorso è quindi ricevibile.</w:t>
      </w:r>
    </w:p>
    <w:p>
      <w:r>
        <w:rPr>
          <w:b/>
        </w:rPr>
        <w:t>E. 2</w:t>
      </w:r>
    </w:p>
    <w:p>
      <w:r>
        <w:t>Il ricorrente ritiene anzitutto che l'esposto dei fatti presentato dall'autorità uru- guaiana sia lacunoso e contraddittorio. L’autorità rogante non avrebbe infatti spiegato chi sia il debitore dell’importante somma di denaro (il ricorrente stesso oppure la società B. SA) e nulla avrebbe detto sulle modalità con cui è avvenuto il pagamento del prezzo di vendita dell’immobile e meglio sulla titolarità del conto presso il “Banco D.”. Di conseguenza non sarebbe possibile verificare il rispetto del principio della doppia punibilità.</w:t>
      </w:r>
    </w:p>
    <w:p>
      <w:r>
        <w:t>Secondo il ricorrente, qualora il debitore fosse il ricorrente stesso, il presupposto della doppia punibilità non sarebbe adempiuto. A questo proposito egli ha os- servato, tra le altre cose, come per i reati di amministrazione infedele (art. 158 CP) e appropriazione indebita (art. 138 CP) il bene giuridico protetto sia il patri- monio altrui. Altrettanto problematico, se non impossibile, risulterebbe la verifica del rispetto del principio della doppia punibilità nel caso in cui la debitrice fosse la B. SA. La sola circostanza dell’alienazione del bene immobile ad un prezzo congruo non potrebbe infatti essere sussunta ai reati di cui agli art. 138, 164 e 165 CP. Il ricorrente contesta anche il reato di amministrazione infedele (art. 158 CP) per il fatto che il ricorrente è l’unico azionista e quindi l’unico pro- prietario della B. SA, per poi escludere anche quello di bancarotta fraudolenta (art. 163 CP) con la motivazione, questa volta, che il bene immobile venduto è di proprietà della società. Per quanto riguarda l’ipotesi di riciclaggio, il ricorrente ritiene che la verifica del presupposto della doppia punibilità non sia possibile vista anche l’assenza di informazioni sulle modalità di pagamento del prezzo di vendita dell’immobile. Non essendo chiaro se detto importo sia stato dapprima</w:t>
      </w:r>
    </w:p>
    <w:p>
      <w:r>
        <w:t>- 5 -</w:t>
      </w:r>
    </w:p>
    <w:p>
      <w:r>
        <w:t>versato sul conto bancario della B. SA, non sarebbe infatti possibile provare l’esistenza di un crimine a monte.</w:t>
      </w:r>
    </w:p>
    <w:p>
      <w:r>
        <w:rPr>
          <w:b/>
        </w:rPr>
        <w:t>E. 2.1</w:t>
      </w:r>
    </w:p>
    <w:p>
      <w:r>
        <w:t>L'art. 28 AIMP esige in sostanza che la domanda di assistenza indichi il suo oggetto, il motivo, la qualificazione giuridica dei reati, presentando altresì un breve esposto dei fatti essenziali, al fine di permettere allo Stato rogato di veri- ficare che non sussistano condizioni ostative all'assistenza (DTF 129 II 97 con- sid. 3; 118 Ib 111 consid. 5b pag. 121, 547 consid. 3a; 117 Ib 64 consid. 5c pag. 88). In questo ambito, non si può tuttavia pretendere dallo Stato richie- dente la presentazione di un esposto dei fatti totalmente esente da lacune o contraddizioni, visto che lo scopo della rogatoria è proprio quello di chiarire punti oscuri relativi alle fattispecie oggetto d’indagine all’estero, ferma restando la ne- cessità di poter verificare che le condizioni per la concessione dell’assistenza siano date e in che misura essa sia possibile (v. DTF 117 Ib 64 consid. 5c, con giurisprudenza citata). Lo Stato richiedente non deve provare la commissione del reato, ma esporre in modo sufficiente le circostanze sulle quali fonda i propri sospetti, per permettere allo Stato richiesto di verificare che la rogatoria non costituisca un’inammissibile ricerca indiscriminata di prove (v. su questo tema DTF 125 II 65 consid. 6b/aa). L’esame della colpevolezza è riservato al giudice straniero del merito, per cui non compete a quello svizzero dell’assistenza (DTF 113 Ib 276 consid. 3a; 112 Ib 576 consid. 3; sentenza del Tribunale fede- rale 1C_562/2011 del 22 dicembre 2011 consid. 1.5).</w:t>
      </w:r>
    </w:p>
    <w:p>
      <w:r>
        <w:rPr>
          <w:b/>
        </w:rPr>
        <w:t>E. 2.2</w:t>
      </w:r>
    </w:p>
    <w:p>
      <w:r>
        <w:t>L'art. 64 cpv. 1 AIMP prevede che i provvedimenti secondo l'art. 63, se impli- cano l'applicazione della coercizione processuale, possono essere ordinati sol- tanto ove dall'esposizione dei fatti risulti che l'atto perseguito all'estero denota gli elementi obiettivi di una fattispecie punibile secondo il diritto svizzero. Essi devono essere eseguiti secondo il diritto svizzero.</w:t>
      </w:r>
    </w:p>
    <w:p>
      <w:r>
        <w:t>Nell'ambito dell'esame della doppia punibilità, l'autorità non si scosta dall'espo- sto dei fatti contenuto nella domanda, fatti salvi gli errori, le lacune o altre con- traddizioni evidenti ed immediatamente rilevati (DTF 132 II 81 consid. 2.1; 118 Ib 111 consid 5b pag. 121 e seg.). Il giudice dell’assistenza e prima di esso l’autorità rogata non devono procedere a un esame dei reati e delle norme pe- nali menzionati nella domanda di assistenza, ma devono semplicemente va- gliare, limitandosi a un esame "prima facie", se i fatti addotti nella domanda estera – effettuata la dovuta trasposizione – sarebbero punibili anche secondo il diritto svizzero, ricordato che la punibilità secondo il diritto svizzero va deter- minata senza tener conto delle particolari forme di colpa e condizioni di punibi- lità da questo previste (DTF 124 II 184 consid. 4b/cc pag. 188; 118 Ib 543 con- sid. 3b/aa pag. 546; 116 Ib 89 consid. 3b/bb; 112 Ib 576 consid. 11b/bb pag. 594; ZIMMERMANN, La coopération judiciaire internationale en matière pé- nale, 5a ed. 2019, n. 581). I fatti incriminati non devono forzatamente essere caratterizzati, nelle due legislazioni toccate, dalla medesima qualificazione giu-</w:t>
      </w:r>
    </w:p>
    <w:p>
      <w:r>
        <w:t>- 6 -</w:t>
      </w:r>
    </w:p>
    <w:p>
      <w:r>
        <w:t>ridica (DTF 124 II 184 consid. 4b/cc pag. 188; ZIMMERMANN, op. cit., n. 581 e n. 584).</w:t>
      </w:r>
    </w:p>
    <w:p>
      <w:r>
        <w:t>Diversamente dall’ambito estradizionale, le misure di cooperazione sono già ammesse se la condizione della doppia punibilità è ossequiata alla luce di una singola fattispecie (sentenza del Tribunale federale 1C_138/2007 del 17 luglio 2007 consid. 2.3 e rinvii).</w:t>
      </w:r>
    </w:p>
    <w:p>
      <w:r>
        <w:rPr>
          <w:b/>
        </w:rPr>
        <w:t>E. 2.3</w:t>
      </w:r>
    </w:p>
    <w:p>
      <w:r>
        <w:t>Nel caso concreto, l’inchiesta uruguaiana è condotta per titolo di insolvenza so- cietaria fraudolenta. Dagli atti rogatoriali (v. act. 1.3 e 1.5) emerge che A. avrebbe svuotato il patrimonio della società uruguaiana B. SA, di cui egli è azio- nista e amministratore unico, mediante l’alienazione dell’unico bene di valore posseduto dalla società e ciò nonostante fosse consapevole dell’esistenza di una condanna al pagamento di un’importante somma di denaro in virtù di sen- tenze cresciute in giudicato e non disponesse in Uruguay di altri beni che gli consentissero di onorare i debiti nei confronti dei suoi creditori. L’imputato avrebbe fatto confluire il corrispettivo derivante dalla vendita del suddetto bene a favore di un conto bancario a lui riconducibile presso la banca svizzera C.</w:t>
      </w:r>
    </w:p>
    <w:p>
      <w:r>
        <w:t>Dall’esposto summenzionato emergono con sufficiente chiarezza le circostanze sulle quali l’autorità rogante fonda i propri sospetti. Questa Corte ritiene anzi- tutto che l’autorità rogante non lasci dubbi quanto alla titolarità del debito in questione in capo al ricorrente. A quest’ultimo viene infatti contestato di non avere altri beni in Uruguay “che gli consentissero di onorare il debito che man- tiene” con i signori E. e F. (v. rogatoria, pag. 5 e relativo complemento, pag. 5). In ogni caso, come si vedrà più avanti, tutti i dubbi interpretativi sollevati dal ricorrente non ostacolano la verifica della sussistenza della doppia punibilità.</w:t>
      </w:r>
    </w:p>
    <w:p>
      <w:r>
        <w:t>L’esposto dei fatti nella rogatoria del 15 ottobre 2019 e nel suo complemento del 12 marzo 2020 adempie quindi le esigenze legali richieste e la censura in questo ambito va dunque respinta.</w:t>
      </w:r>
    </w:p>
    <w:p>
      <w:r>
        <w:rPr>
          <w:b/>
        </w:rPr>
        <w:t>E. 2.4</w:t>
      </w:r>
    </w:p>
    <w:p>
      <w:r>
        <w:t>Per quanto concerne la condizione della doppia punibilità, nel suo gravame il ricorrente si è lungamente soffermato sia su questioni di diritto penale uru- guaiano sia sulla questione a sapere se i fatti contestati in Uruguay possano essere costitutivi dei reati di amministrazione infedele (art. 158 CP), appropria- zione indebita (art. 138 CP), bancarotta fraudolenta (art. 163 CP), diminuzione dell’attivo in danno dei creditori (art. 164 CP), cattiva gestione (art. 165 CP) e riciclaggio di denaro (art. 305bis CP). Tuttavia, l’autorità richiesta deve unica- mente vagliare, limitandosi a un esame "prima facie", se i fatti addotti nella do- manda estera sarebbero punibili anche secondo il diritto svizzero, senza quindi sostituirsi al giudice estero del merito né nell’accertamento dei fatti né nella loro sussunzione alle fattispecie penali estere.</w:t>
      </w:r>
    </w:p>
    <w:p>
      <w:r>
        <w:t>- 7 -</w:t>
      </w:r>
    </w:p>
    <w:p>
      <w:r>
        <w:t>In merito ai reati di amministrazione infedele (art. 158 CP) e appropriazione in- debita (art. 138 CP), si osserva che il Tribunale federale ha già avuto modo di considerare che anche nella forma di una SA unipersonale, la società anonima è titolare autonoma del suo patrimonio, che costituisce sia verso l'esterno sia per ciascun organo societario un patrimonio altrui. La SA unipersonale è una persona distinta anche per il suo azionista unico (DTF 141 IV 104).</w:t>
      </w:r>
    </w:p>
    <w:p>
      <w:r>
        <w:t>Alla luce di quanto precede, i fatti contestati al ricorrente, se trasposti nel con- testo giuridico elvetico, possono senz’altro essere sussunti ai reati di ammini- strazione infedele (art. 158 CP) e appropriazione indebita (art. 138 CP), per cui la condizione della doppia punibilità è ossequiata già solo per questo motivo (v. anche art. 2 n. 19 del Trattato). Dovendosi questa Corte limitare ad un esame “prima facie”, il dubbio sollevato dal ricorrente sulla possibilità che la compra- vendita del bene immobile non possa dirsi giuridicamente perfezionata risulta inconferente in quanto riguarda il merito della causa penale estera ed è quindi competenza esclusiva delle autorità penali uruguaiane.</w:t>
      </w:r>
    </w:p>
    <w:p>
      <w:r>
        <w:t>Visto quanto precede, il requisito della doppia punibilità è da considerarsi adem- piuto. Anche tale censura va quindi disattesa.</w:t>
      </w:r>
    </w:p>
    <w:p>
      <w:r>
        <w:rPr>
          <w:b/>
        </w:rPr>
        <w:t>E. 3</w:t>
      </w:r>
    </w:p>
    <w:p>
      <w:r>
        <w:t>Il ricorrente sostiene inoltre che l’autorità rogante avrebbe presentato le proprie richieste di acquisizione documentale e sequestro senza disporre di una deci- sione autorizzativa del giudice, come previsto dal diritto uruguaiano in caso di violazione del segreto bancario. Così facendo egli omette di considerare che giusta l’art. 76 lett. c AIMP è sufficiente che l’autorità rogante confermi che il provvedimento di sequestro sia ammissibile nello Stato richiedente, che è quanto si può desumere dalla dichiarazione della giudice G. a pagina 1 della rogatoria nonché dalle normative processuali ad essa allegate. Per il resto non vi sono elementi nell’incarto che permettano di ritenere che nel caso concreto vi siano state irregolarità ai sensi dell’art. 2 AIMP o non siano state rispettate le procedure previste in Uruguay in caso di sequestro di relazioni bancarie (v. an- che DTF 123 II 161 consid. 3b e sentenza del Tribunale federale 1A.215/2004 del 7 febbraio 2005 consid. 5). Trattandosi comunque di questioni di diritto estero, spetterà agli organi giurisdizionali esteri sindacare eventuali censure in tal senso.</w:t>
      </w:r>
    </w:p>
    <w:p>
      <w:r>
        <w:rPr>
          <w:b/>
        </w:rPr>
        <w:t>E. 4</w:t>
      </w:r>
    </w:p>
    <w:p>
      <w:r>
        <w:t>Nel suo gravame, il ricorrente ha postulato anche l’annullamento del sequestro disposto con la decisione di entrata nel merito e incidentale del 29 novembre 2019.</w:t>
      </w:r>
    </w:p>
    <w:p>
      <w:r>
        <w:rPr>
          <w:b/>
        </w:rPr>
        <w:t>E. 4.1</w:t>
      </w:r>
    </w:p>
    <w:p>
      <w:r>
        <w:t>L'autorità che entra nel merito di una domanda d'assistenza giudiziaria interna- zionale e, in esecuzione della stessa, ordina un sequestro, deve verificare che</w:t>
      </w:r>
    </w:p>
    <w:p>
      <w:r>
        <w:t>- 8 -</w:t>
      </w:r>
    </w:p>
    <w:p>
      <w:r>
        <w:t>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rPr>
          <w:b/>
        </w:rPr>
        <w:t>E. 4.2</w:t>
      </w:r>
    </w:p>
    <w:p>
      <w:r>
        <w:t>Visto tutto quanto esposto in precedenza, è senz'altro possibile concludere che esistono elementi sufficienti per confermare il sequestro della relazione n. 1 in- testata a A. presso la banca C. Il potenziale nesso fra la relazione sequestrata e i reati contestati al ricorrente è infatti dato (v. consid. C); toccherà poi all'auto- rità estera accertare se il denaro in questione è effettivamente di origine illecita. In caso affermativo, esso potrebbe fare l'oggetto di una decisione di confisca o di restituzione all'avente diritto nello Stato richiedente (v. art. 74 a cpv. 1 e 2 AIMP, nonché DTF 123 II 134 consid. 5c; 123 II 268 consid. 4; 123 II 595 con- sid. 3). In definitiva, il sequestro litigioso deve essere mantenuto di principio sino alla notifica di una decisione definitiva ed esecutiva dello Stato richiedente o fintanto che quest'ultimo non abbia comunicato che una tale decisione non può più essere pronunciata (art. 74 a cpv. 3 AIMP e 33 a OAIMP; TPF 2007 124 consid. 8 e rinvii), ferma restando la necessità che la procedura all'estero avanzi (DTF 126 II 462 consid. 5e). Il ricorrente non ha peraltro sostanziato nessun sproporzionato pregiudizio economico cagionato dal sequestro, per cui anche da questo punto di vista la misura in questione non presenta sostanziali criticità.</w:t>
      </w:r>
    </w:p>
    <w:p>
      <w:r>
        <w:t>Ne consegue che il sequestro va confermato e la relativa censura respinta.</w:t>
      </w:r>
    </w:p>
    <w:p>
      <w:r>
        <w:rPr>
          <w:b/>
        </w:rPr>
        <w:t>E. 5</w:t>
      </w:r>
    </w:p>
    <w:p>
      <w:r>
        <w:t>Alla luce di tutto quanto sopra esposto, la decisione impugnata va confermata e il gravame integralmente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6'000.–, a carico del ricorrente; essa è coperta dall’an- 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