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RR.2020.182 vom 15. Oktober 2020</w:t>
      </w:r>
    </w:p>
    <w:p>
      <w:r>
        <w:t>Bundesstrafgericht, 2020-10-15, IT</w:t>
      </w:r>
    </w:p>
    <w:p>
      <w:r>
        <w:rPr>
          <w:b/>
        </w:rPr>
        <w:t xml:space="preserve">Quelle: </w:t>
      </w:r>
      <w:r>
        <w:t>https://mcp.opencaselaw.ch/entscheid/bstger_RR.2020.182</w:t>
      </w:r>
    </w:p>
    <w:p>
      <w:r>
        <w:t>FR: TPF RR.2020.182 du 15 octobre 2020</w:t>
      </w:r>
    </w:p>
    <w:p>
      <w:r>
        <w:t>IT: TPF RR.2020.182 del 15 ottobre 2020</w:t>
      </w:r>
    </w:p>
    <w:p>
      <w:pPr>
        <w:pStyle w:val="Heading2"/>
      </w:pPr>
      <w:r>
        <w:t>Regeste</w:t>
      </w:r>
    </w:p>
    <w:p>
      <w:r>
        <w:t>Assistenza giudiziaria internazionale in materia penale alla Città del Vaticano.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22 luglio 2020 è ricevibile sotto il profilo degli art. 25 cpv. 1, 80e cpv. 1 e 80k AIMP. Intestataria della relazione oggetto della decisione impugnata, la ricorrente è legittimata a ricorrere (v. art. 80h lett. b AIMP e art. 9a lett. a OAIMP</w:t>
      </w:r>
    </w:p>
    <w:p>
      <w:r>
        <w:t>- 4 -</w:t>
      </w:r>
    </w:p>
    <w:p>
      <w:r>
        <w:t>nonché DTF 137 IV 134 consid. 5.2.1; 130 II 162 consid. 1.1; 128 II 211 con- sid. 2.3; TPF 2007 79 consid. 1.6 pag. 82).</w:t>
      </w:r>
    </w:p>
    <w:p>
      <w:r>
        <w:rPr>
          <w:b/>
        </w:rPr>
        <w:t>E. 2</w:t>
      </w:r>
    </w:p>
    <w:p>
      <w:r>
        <w:t>La ricorrente censura innanzitutto la violazione del suo diritto di essere sentita, nella misura in cui il MPC ha ordinato la trasmissione di tutta la documentazione concernente il suo conto bancario, senza procedere ad una cernita effettiva e sostanziale della stessa. A suo dire, l’invio di una chiavetta USB con la docu- mentazione bancaria per osservazioni configurerebbe un mero giro a vuoto for- male, se poi il MPC non entra nel merito delle osservazioni e scarta anzi la logica della cernita.</w:t>
      </w:r>
    </w:p>
    <w:p>
      <w:r>
        <w:rPr>
          <w:b/>
        </w:rPr>
        <w:t>E. 2.1</w:t>
      </w:r>
    </w:p>
    <w:p>
      <w:r>
        <w:t>Secondo la giurisprudenza, l'autorità di esecuzione, dopo aver concesso al de- tentore della documentazione la possibilità di addurre i motivi che si opporreb- bero alla trasmissione di determinati atti,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 ogni singolo documento gli argomenti che secondo loro si opporrebbero alla consegna. Que- sto affinché esse possano esercitare in maniera concreta ed effettiva il loro di- ritto di essere sentite (v. art. 30 cpv. 1 PA), secondo modalità di collaborazione comunque rispettose del principio della buona fede (art. 5 cpv. 3 Cost.; KRAUS- KOPF/EMMENEGGER/BABEY, in: Waldmann/Weissenberger, Praxiskommentar VwVG, 2a ediz. 2016, n. 54 ad art. 12 PA). Secondo giurisprudenza costante, il diritto ad una decisione motivata impone che l’autorità adita si esprima sull’in- sieme delle argomentazioni che le vengono proposte, ma non è obbligata a di- scutere tutti i fatti, le prove e le obiezioni sollevate dalle parti, essendo unica- mente necessario l’esame di quelle questioni decisive per l’esito della contro- versia (DTF 141 V 557 consid. 3.2.1; 141 IV 249 consid. 1.3.1; 139 IV 179 con- sid. 2.2; sentenza del Tribunale federale 1C_660/2019 del 6 gennaio 2020 con- sid. 3.1).</w:t>
      </w:r>
    </w:p>
    <w:p>
      <w:r>
        <w:t>Il diritto di essere sentito, ancorato all'art. 29 cpv. 2 Cost., viene concretizzato nell'ambito dell'assistenza giudiziaria internazionale agli art. 29 e segg. PA ri- chiamati all'art. 12 cpv. 1 AIMP (ZIMMERMANN, La coopération judiciaire interna- tionale en matière pénale, 5a ediz. 2019, n. 472). Esso è di natura formale (DTF 126 I 19 consid. 2d/bb pag. 24; 125 I 113 consid. 3; ALBERTINI, Der verfassungs- mässige Anspruch auf rechtliches Gehör im Verwaltungsverfahren des moder-</w:t>
      </w:r>
    </w:p>
    <w:p>
      <w:r>
        <w:t>- 5 -</w:t>
      </w:r>
    </w:p>
    <w:p>
      <w:r>
        <w:t>nen Staates, 2000, pag. 449 con rinvii). Una violazione di questo diritto fonda- mentale da parte dell'autorità d'esecuzione non comporta comunque automati- camente l'accoglimento del gravame e l'annullamento della decisione impu- 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precedente (v. DTF 124 II 132 consid. 2d; sentenze del Tribunale federale 1C_660/2019 del</w:t>
      </w:r>
    </w:p>
    <w:p>
      <w:r>
        <w:rPr>
          <w:b/>
        </w:rPr>
        <w:t>E. 2.2</w:t>
      </w:r>
    </w:p>
    <w:p>
      <w:r>
        <w:t>In concreto, come emerge dall’incarto, il MPC, in data 16 aprile 2020, ha tra- smesso alla ricorrente tutta la documentazione litigiosa, dandole la possibilità di esprimersi. Dopo un contatto telefonico avvenuto l’11 maggio 2020 con il MPC, la ricorrente, il 28 maggio 2020, ha preso posizione e indicato i documenti dei quali acconsentiva la trasmissione all’autorità estera. L’autorità d’esecu- zione ha ritenuto tali documenti troppo limitati e deciso, vista la natura dei reati contestati agli indagati, di trasmettere tutta la documentazione litigiosa (v. infra consid. 4.2). Non si vede dunque perché ciò si debba considerare un “giro a vuoto”: al contrario l’istanza precedente ha valutato gli argomenti addotti dalla ricorrente e deciso, sulla base di considerazioni il cui merito verrà valutato qui di seguito, che la cernita proposta fosse troppo limitativa. Visto quanto precede, la censura va respinta.</w:t>
      </w:r>
    </w:p>
    <w:p>
      <w:r>
        <w:t>3. La ricorrente sostiene che la decisione impugnata conterrebbe alcuni accerta- menti manifestamente arbitrari, nella misura in cui si scosterebbe a livello fat- tuale dal contenuto della rogatoria.</w:t>
      </w:r>
    </w:p>
    <w:p>
      <w:r>
        <w:t>3.1 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w:t>
      </w:r>
    </w:p>
    <w:p>
      <w:r>
        <w:t>- 6 -</w:t>
      </w:r>
    </w:p>
    <w:p>
      <w:r>
        <w:t>(v.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t>3.2 In concreto, dalla rogatoria risulta che “tra novembre 2018 e maggio 2019 la Segreteria di Stato Vaticana ha effettuato le seguenti operazioni finanziarie: 1. Disinvestimento dal Fondo G., comparto della Fund H. riferibile al finan- ziere B. 2. Acquisto dell’intera proprietà dell’immobile sito a Londra, di cui era proprietaria solo al 45%, per mezzo della società I. SA di C. 3. Estromissione di C. dall’investimento mediante un pagamento di 15 milioni di Euro e passaggio di 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Mons. K. (Capo Ufficio), D. (funzionario) e Mons. L. (funzionario). Si evidenzia come l’investimento nel fondo G. origina da due finanziamenti erogati dalle banche M. e N., entrambi gestiti da E., per un totale di 200,5 milioni di USD. Alla data del 30-9-2019 tali finanziamenti ri- 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rendere visibile – come del resto avvenuto per moltissimi anni – la distra- zione compiuta. Appare inspiegabile il fatto che, a fronte di liquidità disponibili presso la banca M. per oltre 450 milioni di Euro e concesse in pegno alla banca, la Segreteria di Stato abbia fatto ricorso ad un finanziamento” (atto 01-00-0039 e 0040 incarto MPC). Dopo aver fornito i dettagli delle tre fasi sopraelencate (v. atto 01-00-0040, 0041 e 0042 incarto MPC), l’autorità rogante afferma che “allo stato delle indagini i danni arrecati al patrimonio della Segreteria di Stato per effetto delle condotte distrattive sopra descritte, risultano di importo ingente (attualmente quantificabili in non meno di 300 milioni di euro)” (atto 01-00-0042 incarto MPC).</w:t>
      </w:r>
    </w:p>
    <w:p>
      <w:r>
        <w:t>- 7 -</w:t>
      </w:r>
    </w:p>
    <w:p>
      <w:r>
        <w:t>3.3 La rogatoria del 19 dicembre 2019 adempie certamente le condizioni poste in ambito di esposto fattuale. Sulla base degli atti acquisiti, frutto dell’edizione della documentazione bancaria litigiosa e della perquisizione domiciliare della sede della ricorrente, avvenuta il 4 febbraio 2020, il MPC ha espresso sue ulteriori considerazioni, qui contestate dall’insorgente, circa l’implicazione della stessa nei fatti oggetto d’inchiesta, le quali non possono quindi essere contenute nella rogatoria. Premesso che non tocca in ogni caso all’autorità d’esecuzione accer- tare i fatti oggetto del procedimento estero e tantomeno statuire sulla colpevo- lezza delle persone indagate, le censurate discordanze fra l’esposto fattuale in rogatoria e quello riportato nella decisione impugnata non sono comunque tali da inficiare la sostanza della stessa. Spetterà in ogni caso al giudice estero del merito acclarare la fattispecie nei suoi dettagli. Le censure in questo ambito vanno dunque disattese.</w:t>
      </w:r>
    </w:p>
    <w:p>
      <w:r>
        <w:t>4. L’insorgente afferma, infine, che la trasmissione dell’intera documentazione re- lativa alla sua relazione bancaria sarebbe sproporzionata e di nessuna utilità (nemmeno potenziale) rispetto ai fatti e alle fattispecie di reato esposti in roga- toria. Tale trasmissione sarebbe inoltre suscettibile di ledere il suo legittimo in- teresse al mantenimento della confidenzialità su transazioni commerciali, rap- porti finanziari infra-gruppo, ecc. La gran parte delle transazioni bancarie riguar- derebbe il pagamento di stipendi e rimborsi spese di suoi dipendenti nel corso degli anni. Essa comprende purtuttavia che i pagamenti destinati a E. e a suo figlio, O., possano al limite rivestire un’utilità potenziale. Ciò non sarebbe però il caso per decine di altri suoi dipendenti, il cui diritto alla privacy e alla prote- zione dei dati personali verrebbero irrimediabilmente e inutilmente compro- messi con la trasmissione dell’integralità dei documenti. In via subordinata, la ricorrente chiede che vengano trasmessi unicamente gli atti contenuti nel docu- mento E allegato al ricorso (v. act. 1.5).</w:t>
      </w:r>
    </w:p>
    <w:p>
      <w:r>
        <w:t>4.1 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w:t>
      </w:r>
    </w:p>
    <w:p>
      <w:r>
        <w:t>- 8 -</w:t>
      </w:r>
    </w:p>
    <w:p>
      <w:r>
        <w:t>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w:t>
      </w:r>
    </w:p>
    <w:p>
      <w:r>
        <w:t>- 9 -</w:t>
      </w:r>
    </w:p>
    <w:p>
      <w:r>
        <w:t>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op. cit., n. 722, pag. 798 e seg.).</w:t>
      </w:r>
    </w:p>
    <w:p>
      <w:r>
        <w:t>4.2 In concreto, la documentazione litigiosa presenta senz’altro un’utilità potenziale per il procedimento estero. Come rettamente osservato dal MPC, dalla commis- sione rogatoria del 19 dicembre 2019 e dal suo complemento del 18 maggio 2020 (v. act. 10.1), risulta che le operazioni d’investimento nei fondi G. e P. oggetto d’indagine sarebbero state effettuate con la consulenza del gestore pa- trimoniale di fiducia della Segreteria di Stato, E., indagato nel procedimento estero, attraverso la società Q. prima e la ricorrente dopo, precisato che quest’ultima ha ripreso dalla società Q. la gestione patrimoniale degli averi della Segreteria di Stato presso la banca M. dal mese di giugno 2016 e E. è stato assunto dalla ricorrente a partire dal 1°luglio 2016. Questa situazione è confer- mata da tutta una serie di operazioni bancarie intervenute sulla relazione liti- giosa elencate dal MPC nella decisione impugnata (v. act. 1.1, pag. 6 e seg.) nonché da svariati documenti sequestrati presso la sede della ricorrente (v. act. 10, pag. 7 e segg.). Quest’ultima ha del resto ammesso che i documenti bancari relativi ai pagamenti destinati ad E. possono risultare utili per l’inchiesta estera. Ad ogni modo, vista la natura finanziaria dei reati contestati agli indagati, l’au- torità rogante deve avere la possibilità di esaminare tutta la documentazione litigiosa (v. supra consid. 4.1). L'interesse alla "privacy" dei dipendenti della ri- corrente, risp. la confidenzialità su transazioni commerciali o rapporti finanziari infra-gruppo non possono del resto prevalere, nelle descritte circostanze, sulle necessità di indagine e sull'obbligo della Svizzera di accordare l'assistenza più ampia possibile (v. sentenza del Tribunale federale 1A.182/2006 del 9 agosto 2007 consid. 3.3). Il diritto alla riservatezza personale o commerciale non pre- vale manifestamente sugli interessi dell’autorità estera di valutare essa stessa la natura criminale o meno dei flussi finanziari in capo alla ricorrente. Spetterà infatti al giudice estero del merito valutare se dalla documentazione inoltrata emerge in concreto una connessione penalmente rilevante fra i fatti oggetto della procedura penale nella Città del Vaticano e detta documentazione. Alla luce della domanda rogatoriale e del suo complemento risulta che tutta la do- cumentazione litigiosa è potenzialmente utile per l’inchiesta, motivo per cui la sua trasmissione rispetta il principio della proporzionalità.</w:t>
      </w:r>
    </w:p>
    <w:p>
      <w:r>
        <w:t>5. In definitiva, la decisione impugnata va confermata e il gravame integralmente respinto.</w:t>
      </w:r>
    </w:p>
    <w:p>
      <w:r>
        <w:t>- 10 -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