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RR.2020.180 vom 23. Juli 2020</w:t>
      </w:r>
    </w:p>
    <w:p>
      <w:r>
        <w:t>Bundesstrafgericht, 2020-07-23, DE</w:t>
      </w:r>
    </w:p>
    <w:p>
      <w:r>
        <w:rPr>
          <w:b/>
        </w:rPr>
        <w:t xml:space="preserve">Quelle: </w:t>
      </w:r>
      <w:r>
        <w:t>https://mcp.opencaselaw.ch/entscheid/bstger_RR.2020.180</w:t>
      </w:r>
    </w:p>
    <w:p>
      <w:r>
        <w:t>FR: TPF RR.2020.180 du 23 juillet 2020</w:t>
      </w:r>
    </w:p>
    <w:p>
      <w:r>
        <w:t>IT: TPF RR.2020.180 del 23 luglio 2020</w:t>
      </w:r>
    </w:p>
    <w:p>
      <w:pPr>
        <w:pStyle w:val="Heading2"/>
      </w:pPr>
      <w:r>
        <w:t>Regeste</w:t>
      </w:r>
    </w:p>
    <w:p>
      <w:r>
        <w:t>Internationale Rechtshilfe in Strafsachen an Österreich. Eintretensverfügung (Art. 80a Abs. 1 IRSG). Erstellung eines Gutachtens (Art. 63 Abs. 2 lit. b IRSG).</w:t>
      </w:r>
    </w:p>
    <w:p>
      <w:pPr>
        <w:pStyle w:val="Heading2"/>
      </w:pPr>
      <w:r>
        <w:t>Erwägungen</w:t>
      </w:r>
    </w:p>
    <w:p>
      <w:r>
        <w:rPr>
          <w:b/>
        </w:rPr>
        <w:t>E. 17</w:t>
      </w:r>
    </w:p>
    <w:p>
      <w:r>
        <w:t>März 2020 die gutachterliche Abklärung der Reise- und Verhandlungsfä- higkeit von A. durch eine unabhängige Behörde beantragte (s. act. 1.1);</w:t>
      </w:r>
    </w:p>
    <w:p>
      <w:r>
        <w:t>- mit «Eintretensverfügung» vom 15. Juli 2020 die Staatsanwaltschaft Grau- bünden auf das Ersuchen eintrat und die Psychiatrischen Dienste Graubün- den (PDGR) mit der entsprechenden Begutachtung von A. beauftragte; A. in der Verfügung darauf hingewiesen wurde, dass vorläufig kein Rechtsmittel zulässig sei (act. 1.1);</w:t>
      </w:r>
    </w:p>
    <w:p>
      <w:r>
        <w:t>- dagegen A. mit Eingabe vom 20. Juli 2020 Beschwerde bei der Beschwer- dekammer des Bundesstrafgerichts erhebt (act. 1);</w:t>
      </w:r>
    </w:p>
    <w:p>
      <w:r>
        <w:t>- zur Begründung der Beschwerdeführer zur Hauptsache Mängel im österrei- chischen Strafverfahren gegen ihn geltend macht (act. 1 S. 1 ff.); er ausser- dem geltend macht, eine «Exploration von fremden Personen» den Weg sei- ner Genesung und Wiedereingliederung in das Arbeitsleben nachhaltig ge- fährden und insofern auch für Schweizer Sozialsysteme und Krankenkassen ein Nachteil eintreten würde, der später nicht wieder gutzumachen wäre (act. 1 S. 9);</w:t>
      </w:r>
    </w:p>
    <w:p>
      <w:r>
        <w:t>- im Rechtshilfeverfahren der Schlussverfügung vorangehende Zwischenver- fügungen nur ausnahmsweise selbständig angefochten werden können;</w:t>
      </w:r>
    </w:p>
    <w:p>
      <w:r>
        <w:t>- eine solche Anfechtung nur möglich ist, wenn durch die Beschlagnahme von Vermögenswerten und Wertgegenständen oder durch die Anwesenheit von am ausländischen Prozess beteiligten Personen ein unmittelbarer und nicht wieder gutzumachender Nachteil bewirkt wird (Art. 80e Abs. 2 lit. a und b des Bundesgesetzes vom 20. März 1981 über internationale Rechtshilfe in Straf- sachen [Rechtshilfegesetz, IRSG; SR 351.1]);</w:t>
      </w:r>
    </w:p>
    <w:p>
      <w:r>
        <w:t>- die angefochtene Eintretensverfügung samt Anordnung der Begutachtung keine anfechtbare Zwischenverfügung im Sinne von Art. 80e Abs. 2 IRSG ist;</w:t>
      </w:r>
    </w:p>
    <w:p>
      <w:r>
        <w:t>- im Übrigen die vom Beschwerdeführer eingereichten Arztzeugnisse (act. 1.17 bis 1.23) weder aktuell sind noch einen unmittelbaren und nicht wieder gutzumachenden Nachteil durch die angeordnete Begutachtung glaubhaft machen;</w:t>
      </w:r>
    </w:p>
    <w:p>
      <w:r>
        <w:t>- 3 -</w:t>
      </w:r>
    </w:p>
    <w:p>
      <w:r>
        <w:t>- nach dem Gesagten die Beschwerde sich als unzulässig erweist, weshalb auf diese ohne Durchführung eines Schriftenwechsels und den Beizug der Verfahrensakten nicht einzutreten ist (Art. 57 Abs. 1 VwVG e contrario i.V.m. Art. 39 Abs. 2 lit. b des Bundesgesetzes vom 19. März 2010 über die Orga- nisation der Strafbehörden des Bundes [Strafbehördenorganisationsgesetz, StBOG, SR 173.71]);</w:t>
      </w:r>
    </w:p>
    <w:p>
      <w:r>
        <w:t>- bei diesem Ausgang des Verfahrens die Gerichtskosten dem Beschwerde- führer aufzuerlegen sind (Art. 63 Abs. 1 VwVG i.V.m. Art. 39 Abs. 2 lit. b StBOG);</w:t>
      </w:r>
    </w:p>
    <w:p>
      <w:r>
        <w:t>- die Gerichtsgebühr auf Fr. 1’000.-- festzusetzen ist (Art. 63 Abs. 5 VwVG i.V.m. Art. 73 StBOG und Art. 5 und 8 Abs. 3 des Reglements des Bun- desstrafgerichts vom 31. August 2010 über die Kosten, Gebühren und Ent- schädigungen in Bundesstrafverfahren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