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RR.2020.178 vom 6. Mai 2021</w:t>
      </w:r>
    </w:p>
    <w:p>
      <w:r>
        <w:t>Bundesstrafgericht, 2021-05-06, FR</w:t>
      </w:r>
    </w:p>
    <w:p>
      <w:r>
        <w:rPr>
          <w:b/>
        </w:rPr>
        <w:t xml:space="preserve">Quelle: </w:t>
      </w:r>
      <w:r>
        <w:t>https://mcp.opencaselaw.ch/entscheid/bstger_RR.2020.178</w:t>
      </w:r>
    </w:p>
    <w:p>
      <w:r>
        <w:t>FR: TPF RR.2020.178 du 6 mai 2021</w:t>
      </w:r>
    </w:p>
    <w:p>
      <w:r>
        <w:t>IT: TPF RR.2020.178 del 6 maggio 2021</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et pour la France le 21 août 1967, ainsi que par l'Accord entre le Conseil fédéral suisse et le Gouvernement de la République française en vue de compléter la CEEJ (Accord bilatéral; RS 0.351.934.92), conclu le 28 octobre 1996 et en vigueur depuis le 1er mai 2000. Peuvent également s’appliquer, en l’occurrence, la Convention du Conseil de</w:t>
      </w:r>
    </w:p>
    <w:p>
      <w:r>
        <w:t>- 5 -</w:t>
      </w:r>
    </w:p>
    <w:p>
      <w:r>
        <w:t>l’Europe du 8 novembre 1990 relative au blanchiment, au dépistage, à la saisie et à la confiscation des produits du crime (CBI; RS 0.311.53), en vigueur pour la Suisse dès le 11 septembre 1993 et pour la France dès le 1er février 1997, ainsi que les art. 43 ss de la Convention des Nations Unies contre la corruption, entrée en vigueur pour la France le 14 décembre 2005 et pour la Suisse le 24 octobre 2009 (UNCAC; RS 0.311.56).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 provisoirement par la Suisse et la France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ce qui est valable aussi dans le rapport entre elles des normes internationales (v. art. 48 ch. 2 CAAS, art. 39 ch. 2 et 3 CBI et art. 25 al. 2 de l’Accord anti-fraude).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w:t>
      </w:r>
    </w:p>
    <w:p>
      <w:r>
        <w:rPr>
          <w:b/>
        </w:rPr>
        <w:t>E. 1.4</w:t>
      </w:r>
    </w:p>
    <w:p>
      <w:r>
        <w:t>La recourante dispose de la qualité pour recourir (art. 80h let. b EIMP et 9a</w:t>
      </w:r>
    </w:p>
    <w:p>
      <w:r>
        <w:t>- 6 -</w:t>
      </w:r>
    </w:p>
    <w:p>
      <w:r>
        <w:t>let. a et b OEIMP; ATF 137 IV 134 consid. 5; 118 Ib 547 consid. 1d). Interjeté le 17 juillet 2020, le recours a été déposé en temps utile (art. 80k EIMP).</w:t>
      </w:r>
    </w:p>
    <w:p>
      <w:r>
        <w:rPr>
          <w:b/>
        </w:rPr>
        <w:t>E. 1.5</w:t>
      </w:r>
    </w:p>
    <w:p>
      <w:r>
        <w:t>Le recours est recevable et il y a lieu d’entrer en matière.</w:t>
      </w:r>
    </w:p>
    <w:p>
      <w:r>
        <w:rPr>
          <w:b/>
        </w:rPr>
        <w:t>E. 2</w:t>
      </w:r>
    </w:p>
    <w:p>
      <w:r>
        <w:t>Dans un grief qu’il y a lieu de traiter en premier lieu, vu sa nature formelle, la recourante allègue une violation de son droit d’être entendue. D’une part, le MP-VD aurait omis de transmettre à la recourante sa correspondance avec l’Etat requérant du mois d’octobre 2019. D’autre part, dite autorité ne se serait pas déterminée, dans sa décision attaquée, sur l’argumentation développée par la recourante en date du 5 juin 2020 s’agissant du statut procédural de D. dans l’affaire d’homicide dont fait état l’autorité requérante, de la levée de l’interdiction de gérer dont celui-ci faisait l’objet et de l’ordonnance de classement prononcée par le MPC en 2015 dans la procédure ouverte à l’encontre du prénommé (act. 1, B. 4).</w:t>
      </w:r>
    </w:p>
    <w:p>
      <w:r>
        <w:rPr>
          <w:b/>
        </w:rPr>
        <w:t>E. 2.1</w:t>
      </w:r>
    </w:p>
    <w:p>
      <w:r>
        <w:t>La jurisprudence a tiré du droit d’être entendu consacré à l’art. 29 Cst.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141 V 557 consid. 3.2.1; 141 IV 249 consid. 1.3.1; 139 IV 179 consid. 2.2; 134 I 83 consid. 4.1;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w:t>
      </w:r>
    </w:p>
    <w:p>
      <w:r>
        <w:rPr>
          <w:b/>
        </w:rPr>
        <w:t>E. 2.2</w:t>
      </w:r>
    </w:p>
    <w:p>
      <w:r>
        <w:t>En ce qui concerne, tout d’abord, la non transmission par le MP-VD de « sa correspondance avec l’Etat requérant du mois d’octobre 2019 », elle ne comporte pas ipso facto une violation du droit d’être entendu. En effet, il ressort de la demande du 15 juillet 2020 d’accès aux actes litigieux (dossier PR18.019585, pièce n. 97), que la correspondance en question contient l’invitation du MP-VD du 1er octobre 2019 à l’autorité requérante à lui préciser si la commission rogatoire du 17 septembre 2018 avait absorbé celle du</w:t>
      </w:r>
    </w:p>
    <w:p>
      <w:r>
        <w:rPr>
          <w:b/>
        </w:rPr>
        <w:t>E. 2.3</w:t>
      </w:r>
    </w:p>
    <w:p>
      <w:r>
        <w:t>S’agissant du second reproche, on comprend mal et la recourante faillit à démontrer la pertinence pour la procédure d’entraide de l’éventuelle implication de D. dans l’affaire d’homicide mentionnée par l’autorité requérante, de l’interdiction de gérer dont le précité aurait fait l’objet, ou encore des faits de la procédure pénale suisse classée en 2015. Manifestement non relevants pour la procédure d’entraide, c’est à raison que l’autorité d’exécution n’a pas considéré ces éléments dans les décisions d’entrée en matière et de clôture. Ce qui suffit, en toute logique, à sceller le sort de ce deuxième aspect du grief.</w:t>
      </w:r>
    </w:p>
    <w:p>
      <w:r>
        <w:t>- 8 -</w:t>
      </w:r>
    </w:p>
    <w:p>
      <w:r>
        <w:rPr>
          <w:b/>
        </w:rPr>
        <w:t>E. 2.4</w:t>
      </w:r>
    </w:p>
    <w:p>
      <w:r>
        <w:t>Mal fondé, le grief tiré la violation du droit d’être entendu doit être rejeté.</w:t>
      </w:r>
    </w:p>
    <w:p>
      <w:r>
        <w:t>3. La recourante se plaint ensuite d’une violation des art. 14 CEEJ et 28 al. 2 EIMP (act. 1, B. 1) et du principe de la double incrimination (act. 1, B. 2). De son point de vue, le contenu de la demande d’entraide française du 17 septembre 2018 et des compléments ne permet ni de déterminer si les éléments constitutifs d’une infraction sont remplis ni l’identité des auteurs. Au titre d’une violation du principe de la double incrimination, la recourante estime que la description insuffisante de l’état de fait ne permet pas de conclure à l’existence de titres, selon l’art. 251 CP, ni à celle d’un crime préalable au blanchiment d’argent, infractions retenues par le MP-VD dans sa décision attaquée. En outre, selon elle, la demande d’entraide du 6 juillet 2016 devait être considérée comme retirée, l’autorité requérante n’ayant pas répondu dans le délai fixé à une requête du MPC, alors en charge de la procédure, ce que celui-ci précisait qu’il considérerait comme un retrait de la demande d’entraide. Dans ces conditions, ladite demande ne pouvait faire l’objet d’une décision de clôture et les allégations de faits y figurant ne pouvaient être utilisées (act. 1, p. 24). 3.1 S’agissant de ce dernier reproche, contrairement à ce que soutient la recourante, en confirmant au MP-VD que la demande d’entraide du 17 septembre 2018 avait absorbé celle du 6 juillet 2016 (v. supra Faits, let. F et consid. 2.2), l’autorité requérante – qui, au demeurant, peut à tout moment réactiver ou reformuler une demande – a démontré que celle-ci était maintenue. 3.2 Il s’agit, dans un premier temps, d’examiner si le contenu de la demande est suffisant et si le principe de la double incrimination est respecté (v. infra consid. 3.7). 3.3</w:t>
      </w:r>
    </w:p>
    <w:p>
      <w:r>
        <w:t>3.3.1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w:t>
      </w:r>
    </w:p>
    <w:p>
      <w:r>
        <w:t>- 9 -</w:t>
      </w:r>
    </w:p>
    <w:p>
      <w:r>
        <w:t>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 3.3.2 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1C_126/2014 du 16 mai 2014 consid. 4.4; 1A.231/2003 du</w:t>
      </w:r>
    </w:p>
    <w:p>
      <w:r>
        <w:rPr>
          <w:b/>
        </w:rPr>
        <w:t>E. 4</w:t>
      </w:r>
    </w:p>
    <w:p>
      <w:r>
        <w:t>juin 2013 consid. 2.1; 2C_23/2009 du 25 mai 2009 consid. 3.1).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 Autre aspect du droit d’être entendu garanti par l’art. 29 Cst., le droit de consulter le dossier s'étend à toutes les pièces</w:t>
      </w:r>
    </w:p>
    <w:p>
      <w:r>
        <w:t>- 7 -</w:t>
      </w:r>
    </w:p>
    <w:p>
      <w:r>
        <w:t>décisives pour l'issue de la cause; a contrario, la consultation des pièces non pertinentes peut être refusée (v. ATF 132 II 485 consid. 3.2; 121 I 225 consid. 2a p. 227). Une violation du droit d'être entendu commise par l'autorité d'exécution est en principe guérissable dans le cadre de la procédure de recours auprès de la Cour de céans (arrêt du Tribunal fédéral 1C_168/2016 du 22 avril 2016 consid. 1.3.2).</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