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RR.2020.173 vom 14. Oktober 2020</w:t>
      </w:r>
    </w:p>
    <w:p>
      <w:r>
        <w:t>Bundesstrafgericht, 2020-10-14, IT</w:t>
      </w:r>
    </w:p>
    <w:p>
      <w:r>
        <w:rPr>
          <w:b/>
        </w:rPr>
        <w:t xml:space="preserve">Quelle: </w:t>
      </w:r>
      <w:r>
        <w:t>https://mcp.opencaselaw.ch/entscheid/bstger_RR.2020.173</w:t>
      </w:r>
    </w:p>
    <w:p>
      <w:r>
        <w:t>FR: TPF RR.2020.173 du 14 octobre 2020</w:t>
      </w:r>
    </w:p>
    <w:p>
      <w:r>
        <w:t>IT: TPF RR.2020.173 del 14 ottobre 2020</w:t>
      </w:r>
    </w:p>
    <w:p>
      <w:pPr>
        <w:pStyle w:val="Heading2"/>
      </w:pPr>
      <w:r>
        <w:t>Regeste</w:t>
      </w:r>
    </w:p>
    <w:p>
      <w:r>
        <w:t>Assistenza giudiziaria internazionale in materia penale alla Spagna. Consegna di mezzi di prova (art. 74 AIMP). Durata del sequestro (art. 33a OAIMP).</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1.3</w:t>
      </w:r>
    </w:p>
    <w:p>
      <w:r>
        <w:t>I rapporti di assistenza giudiziaria in materia penale fra la Spagna e la Confe- derazione Svizzera sono anzitutto retti dalla Convenzione europea di assi-</w:t>
      </w:r>
    </w:p>
    <w:p>
      <w:r>
        <w:t>- 4 -</w:t>
      </w:r>
    </w:p>
    <w:p>
      <w:r>
        <w:t>stenza giudiziaria in materia penale del 20 aprile 1959, entrata in vigore il 16 no- vembre 1982 per la Spagna ed il 20 marzo 1967 per la Svizzera (CEAG; RS 0.351.1), nonché dagli art. 48 e segg. della Convenzione di applicazione dell'Accordo di Schengen del 14 giugno 1985 (CAS; n° CELEX 42000°0922[02]; Giornale ufficiale dell'Unione europea L 239 del 22 settembre 2000, pag. 19-62; testo non pubblicato nella RS ma consultabile sulla piattaforma Internet della 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 Svizzera ed il 1° dicembre 1998 per la Spagna (CRic; RS. 0.311.53). Alle que- stioni che il prevalente diritto internazionale contenuto in detti trattati non regola espressamente o implicitamente, come pure quando il diritto nazionale sia più favorevole all'assistenza rispetto a quello pattizio (cosiddetto principio di fa- vore), si applica la legge sull'assistenza in materia penale, unitamente alla rela- tiva ordinanza (OAIMP; RS 351.11; v. art. 1 cpv. 1 AIMP, DTF 142 IV 250 con- sid. 3; 140 IV 123 consid. 2; 137 IV 33 consid. 2.2.2; 136 IV 82 consid. 3.1). Il principio di favore vale anche nell'applicazione delle pertinenti norme di diritto internazionale (v. art. 48 n. 2 CAS e 39 n. 3 CRic). È fatto salvo il rispetto dei diritti fondamentali (DTF 135 IV 212 consid. 2.3; 123 II 595 consid. 7c).</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1.5</w:t>
      </w:r>
    </w:p>
    <w:p>
      <w:r>
        <w:t>Interposto tempestivamente contro le sopraccitate decisioni di chiusura, il ri- corso del 17 luglio 2020 è ricevibile sotto il profilo degli art. 25 cpv. 1, 80e cpv. 1 e 80k AIMP. A., B. SA, Fundacion C. e D. Corp. SA sono legittimate a ricorrere per quanto concerne le relazioni bancarie di cui sono titolari (v. art. 80h lett. b AIMP e art. 9a lett. a OAIMP nonché DTF 137 IV 134 consid. 5.2.1; 130 II 162 consid. 1.1; 128 II 211 consid. 2.3; TPF 2007 79 consid. 1.6 pag. 82). Per quanto attiene alla E. Ltd, i suoi patrocinatori hanno trasmesso una risoluzione del suo consiglio di amministrazione del 1° luglio 2015, che accorderebbe al suo articolo 9(a) una procura a A., il quale ha firmato la procura qui prodotta. L’art. 9 in questione, intitolato “Appointment of Investment Adviser(s) and granting of Lim- ited Power of Attorney over Investment management” prevede alla sua lettera a “that the Company hereby appoints A. as investment adviser(s) (the “Invest- ment Adviser(s)”) to the Company with respect to the assets to be held at the Bank and grants to the Investment Adviser(s) a Limited Power of Attorney/Lim- ited Trading Authorisation of Investment management over the said assets (the “Limited Power of Attorney”) (v. act. 10). Ora, il documento prodotto, oltre ad</w:t>
      </w:r>
    </w:p>
    <w:p>
      <w:r>
        <w:t>- 5 -</w:t>
      </w:r>
    </w:p>
    <w:p>
      <w:r>
        <w:t>essere decisamente datato, comporta la nomina di A. quale consulente per gli investimenti nei rapporti con la banca K., ma non come rappresentante della società in giustizia. Ad ogni modo, anche se fosse stato autorizzato in tal senso, il gravame avrebbe comunque dovuto essere respinto nel merito per i motivi di cui ai considerandi seguenti.</w:t>
      </w:r>
    </w:p>
    <w:p>
      <w:r>
        <w:rPr>
          <w:b/>
        </w:rPr>
        <w:t>E. 2</w:t>
      </w:r>
    </w:p>
    <w:p>
      <w:r>
        <w:t>I ricorrenti lamentano innanzitutto una violazione del loro diritto di essere sentiti, nella misura in cui i loro patrocinatori, a causa della sospensione da parte del governo panamense di tutte le visite ai detenuti, dovuta al Covid-19, non avreb- bero potuto, dal 12 marzo 2020 sino ad oggi, conferire con A., organo unico delle società ricorrenti e attualmente in detenzione a Panama, al fine di espri- mersi in dettaglio sulla trasmissione della documentazione litigiosa risp. sul mantenimento dei contestati sequestri. Non potendo il vizio in questione essere riparato nell’ambito della presente procedura, dato che le misure adottate da Panama non sarebbero ancora state revocate, essi chiedono l’annullamento delle decisioni impugnate e un nuovo termine per esprimersi in maniera circo- stanziata, segnatamente sull’origine dei fondi sequestrati.</w:t>
      </w:r>
    </w:p>
    <w:p>
      <w:r>
        <w:rPr>
          <w:b/>
        </w:rPr>
        <w:t>E. 2.1</w:t>
      </w:r>
    </w:p>
    <w:p>
      <w:r>
        <w:t>Secondo la giurisprudenza, l'autorità di esecuzione, dopo aver concesso al de- tentore della documentazione la possibilità di addurre i motivi che si opporreb- bero alla trasmissione di determinati atti, ha l'obbligo di motivare accuratamente la decisione di chiusura (DTF 130 II 14 consid. 4.4 pag. 18). Essa non potrebbe infatti ordinare in modo acritico e indeterminato la trasmissione dei documenti, delegandone tout court la selezione agli inquirenti esteri (DTF 127 II 151 con- sid. 4c/aa pag. 155; 122 II 367 consid. 2c; 112 Ib 576 consid. 14a pag. 604). Questo compito spetta all'autorità svizzera d'esecuzione che, in assenza di un eventuale consenso all'esecuzione semplificata (art. 80c AIMP), prima di ema- nare una decisione di chiusura, deve impartire alle persone toccate giusta l'art. 80h lett. b AIMP e art. 9a OAIMP un termine per addurre riguardo a ogni singolo documento gli argomenti che secondo loro si opporrebbero alla conse- gna. Questo affinché esse possano esercitare in maniera concreta ed effettiva il loro diritto di essere sentite (v. art. 30 cpv. 1 PA), secondo modalità di colla- borazione comunque rispettose del principio della buona fede (art. 5 cpv. 3 Cost.; KRAUSKOPF/EMMENEGGER/BABEY, in: Waldmann/Weissenberger, Praxis- kommentar VwVG, 2a ediz. 2016, n. 54 ad art. 12 PA). Secondo giurisprudenza costante, il diritto ad una decisione motivata impone che l’autorità adita si esprima sull’insieme delle argomentazioni che le vengono proposte, ma non è obbligata a discutere tutti i fatti, le prove e le obiezioni sollevate dalle parti, es- sendo unicamente necessario l’esame di quelle questioni decisive per l’esito della controversia (DTF 141 V 557 consid. 3.2.1; 141 IV 249 consid. 1.3.1; 139 IV 179 consid. 2.2; sentenza del Tribunale federale 1C_660/2019 del 6 gen- naio 2020 consid. 3.1).</w:t>
      </w:r>
    </w:p>
    <w:p>
      <w:r>
        <w:t>- 6 -</w:t>
      </w:r>
    </w:p>
    <w:p>
      <w:r>
        <w:t>Il diritto di essere sentito, ancorato all'art. 29 cpv. 2 Cost., viene concretizzato nell'ambito dell'assistenza giudiziaria internazionale agli art. 29 e segg. PA ri- chiamati all'art. 12 cpv. 1 AIMP (ZIMMERMANN, La coopération judiciaire interna- tionale en matière pénale, 5a ediz. 2019, n. 472). Esso è di natura formale (DTF 126 I 19 consid. 2d/bb pag. 24; 125 I 113 consid. 3; ALBERTINI, Der ver- fassungsmässige Anspruch auf rechtliches Gehör im Verwaltungsverfahren des modernen Staates, 2000, pag. 449 con rinvii). Una violazione di questo diritto fondamentale da parte dell'autorità d'esecuzione non comporta comunque automaticamente l'accoglimento del gravame e l'annullamento della decisione impugnata (v. WEISS/CASANOVA, Leichte oder schwere Verletzung des rechtli- chen Gehörs?, in: ZBJV 2020, pag. 27 e segg.). Secondo la giurisprudenza e la dottrina una violazione del diritto di essere sentito può essere sanata, se la persona toccata ottiene la possibilità di esprimersi in merito davanti ad una au- torità di ricorso, la quale, come nella fattispecie la Corte dei reclami penali del Tribunale penale federale, dispone del medesimo potere d'esame dell'autorità precedente (v. DTF 124 II 132 consid. 2d; sentenze del Tribunale federale 1C_660/2019 del 6 gennaio 2020 consid. 3.1; 1C_525/2008 e 1C_526/2008 del 28 novembre 2008 consid. 1.3 nonché 1A.54/2004 del 30 aprile 2004; TPF 2008 172 consid. 2.3; TPF 2007 57 consid. 3.2; ZIMMERMANN, op. cit., n. 472).</w:t>
      </w:r>
    </w:p>
    <w:p>
      <w:r>
        <w:rPr>
          <w:b/>
        </w:rPr>
        <w:t>E. 2.2</w:t>
      </w:r>
    </w:p>
    <w:p>
      <w:r>
        <w:t>In concreto, occorre rilevare che le decisioni qui impugnate sono state emanate più di cinque mesi dopo il blocco dei conti. In virtù del principio di celerità, il MPC non poteva attendere sine die una presa di posizione sull’esecuzione della ro- gatoria, precisato che ancora in sede di replica i patrocinatori dei ricorrenti hanno affermato di non avere avuto ancora la possibilità di conferire con A. (v. act. 14, pag. 5), per cui anche un’eventuale proroga del termine per prendere posizione sarebbe stata inutile. In realtà, i ricorrenti, con il loro articolato gra- vame di 35 pagine, hanno potuto esprimere e sviluppare sufficientemente le loro censure, e non si vede, dato il profilo d’esame del giudice dell’assistenza, di quali ulteriori informazioni i patrocinatori dei ricorrenti avrebbero avuto biso- gno per corroborarlo. Per il resto, A. stesso potrà far valere le sue ragioni, in merito all’origine dei fondi in questione, nel procedimento estero. In definitiva, le censure in questo ambito vanno respinte, come disattesa va anche la richie- sta di sospensione della presente procedura per interpellare l’autorità rogante sui sequestri litigiosi.</w:t>
      </w:r>
    </w:p>
    <w:p>
      <w:r>
        <w:rPr>
          <w:b/>
        </w:rPr>
        <w:t>E. 3</w:t>
      </w:r>
    </w:p>
    <w:p>
      <w:r>
        <w:t>I ricorrenti censurano la violazione del principio della proporzionalità. L’autorità d’esecuzione avrebbe ordinato la trasmissione di documentazione bancaria e il blocco di conti non oggetto della domanda di assistenza o già oggetto di una precedente rogatoria. Più precisamente, la documentazione concernente le re- lazioni n. 6 e n. 7 presso la banca K. sarebbe inutile per l’inchiesta estera.</w:t>
      </w:r>
    </w:p>
    <w:p>
      <w:r>
        <w:t>- 7 -</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Si tratta di quei conti, come nel caso in esame, suscettibili di aver ricevuto il provento di infrazioni penali. L’autorità richiedente ha un interesse ad essere informata di qualsiasi transazione che possa far parte del meccanismo delittuoso messo in atto dalle persone sotto inchiesta (decisione del Tribunale penale federale RR.2014.4 del 30 luglio 2014 consid. 2.2.2). Naturalmente è anche possibile che i conti conte- stati non siano stati utilizzati per ricevere proventi di reati o per effettuare tra- sferimenti illeciti o riciclare fondi, ma l’autorità richiedente ha comunque inte- resse a poterlo verificare essa stessa, sulla base di una documentazione com- pleta, tenendo presente che l’assistenza reciproca è finalizzata non solo alla raccolta di prove incriminanti ma anche a discarico (sentenza del Tribunale fe- derale 1A.88/2006 del 22 giugno 2006 consid. 5.3; decisione del Tribunale pe- nale federale RR.2007.29 del 30 maggio 2007 consid. 4.2). La trasmissione dell'intera documentazione potrà evitare altresì che le autorità debbano inoltrare eventuali domande complementari (DTF 136 IV 82 consid. 4.1; 121 II 241 con- sid. 3; sentenza del Tribunale federale 1C_486/2008 dell'11 novembre 2008</w:t>
      </w:r>
    </w:p>
    <w:p>
      <w:r>
        <w:t>- 8 -</w:t>
      </w:r>
    </w:p>
    <w:p>
      <w:r>
        <w:t>consid. 2.4; sentenza del Tribunale penale federale RR.2011.113 del 28 luglio 2011 consid. 4.2), con evidente intralcio alle esigenze di celerità (v. anche art. 17a cpv. 1 AIMP). In base alla giurisprudenza, l'esame da parte delle auto- rità di esecuzione e del giudice dell'assistenza va limitato alla cosiddetta utilità potenziale, secondo cui la consegna giusta l'art. 74 AIMP è esclusa soltanto per quei mezzi di prova certamente privi di rilevanza per il procedimento penale all'estero (DTF 134 II 318 consid. 6.4; 126 II 258 consid. 9c; 122 II 367 con- 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 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RR.2009.320 del 2 febbraio 2010 consid. 4.1; ZIMMERMANN, op. cit., n. 722, p. 798 s.).</w:t>
      </w:r>
    </w:p>
    <w:p>
      <w:r>
        <w:t>Il principio della proporzionalità impedisce inoltre all'autorità rogata di agire ultra petita,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rPr>
          <w:b/>
        </w:rPr>
        <w:t>E. 3.2</w:t>
      </w:r>
    </w:p>
    <w:p>
      <w:r>
        <w:t>In concreto, la documentazione litigiosa presenta un’indubbia utilità potenziale per la procedura estera. Essa riguarda infatti relazioni bancarie intestate ad A., imputato nel procedimento penale spagnolo, e a società a lui riconducibili. Im- portante rilevare che dalla rogatoria risulta che in data 31 maggio e 6 giugno 2019 la società G. SA ha presentato alle autorità penali spagnole due denunce dove afferma che i contratti conclusi con le società di A. sarebbero fittizi e che i</w:t>
      </w:r>
    </w:p>
    <w:p>
      <w:r>
        <w:t>- 9 -</w:t>
      </w:r>
    </w:p>
    <w:p>
      <w:r>
        <w:t>pagamenti effettuati tra il 2010 e il 2014 per un importo complessivo di oltre USD 82 milioni sarebbero serviti unicamente per mascherare il pagamento di tangenti (v. atto 01-00-0018 incarto MPC). Visto quanto precede, l’esame di tutti i flussi di denaro avvenuti sui conti in questione è essenziale per accertare se siano di origine corruttiva o meno, precisato che svariati movimenti meritevoli di approfondimenti sono già stati concretamente indicati dal MPC nelle decisioni impugnate. Contrariamente a quanto asserito dai ricorrenti, l’autorità estera ha peraltro mostrato interesse per tutte le relazioni bancarie riconducibili ad A. (v. atto 01-00-0021 incarto MPC), per cui non si può nemmeno affermare che l’autorità d’esecuzione abbia agito ultra petita.</w:t>
      </w:r>
    </w:p>
    <w:p>
      <w:r>
        <w:t>Spetterà comunque al giudice estero del merito valutare se dalla documenta- zione inoltrata emerge in concreto una connessione penalmente rilevante fra i fatti oggetto della procedura penale in Spagna e detta documentazione. Alla luce della domanda rogatoriale risulta che tutta la documentazione litigiosa è potenzialmente utile per l’inchiesta, motivo per cui la sua trasmissione rispetta il principio della proporzionalità.</w:t>
      </w:r>
    </w:p>
    <w:p>
      <w:r>
        <w:rPr>
          <w:b/>
        </w:rPr>
        <w:t>E. 3.3</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t>Ebbene, visto quanto esposto in precedenza (v. supra consid. 3.2) nonché il danno globale di oltre USD 82 milioni indicato dall’autorità rogante (v. atto 01- 00-0018 incarto MPC), importo decisamente superiore alla somma di tutti i va- lori patrimoniali qui sequestrati, è senz'altro possibile concludere che esistono elementi sufficienti per confermare il sequestro delle relazioni intestate ai ricor- renti. In questo senso, da respingere sono le richieste di dissequestro parziale di taluni conti formulate nelle conclusioni sussidiarie (v. act. 1, pag. 5). Il poten- ziale nesso fra il denaro sequestrato e i reati contestati ad A. – che, va ricordato, è l’avente diritto economico di tutti i conti oggetto delle decisioni impugnate – è dato: toccherà poi all'autorità estera accertare se il denaro in questione è effet- tivamente di origine illecita. In caso affermativo, esso potrebbe fare l'oggetto di una decisione di confisca o di restituzione all'avente diritto nello Stato richie- dente (v. art. 74a cpv. 1 e 2 AIMP e art. 13 e segg. CRic, nonché DTF 123 II 134 consid. 5c; 123 II 268 consid. 4; 123 II 595 consid. 3). In definitiva, i seque-</w:t>
      </w:r>
    </w:p>
    <w:p>
      <w:r>
        <w:t>- 10 -</w:t>
      </w:r>
    </w:p>
    <w:p>
      <w:r>
        <w:t>stri litigiosi devono essere mantenuti di principio sino alla notifica di una deci- sione definitiva ed esecutiva dello Stato richiedente o fintanto che quest'ultimo non abbia comunicato che una tale decisione non può più essere pronunciata (art. 74a cpv. 3 AIMP e 33a OAIMP; TPF 2007 124 consid. 8 e rinvii; v. anche art. 11 e seg. CRic), ferma restando la necessità che la procedura all'estero avanzi (DTF 126 II 462 consid. 5e). I ricorrenti non hanno peraltro sostanziato nessuno sproporzionato pregiudizio economico cagionato dai sequestri, per cui anche da questo punto di vista la misura in questione non presenta sostanziali criticità. Ne consegue che i sequestri vanno confermati e le relative censure respinte.</w:t>
      </w:r>
    </w:p>
    <w:p>
      <w:r>
        <w:rPr>
          <w:b/>
        </w:rPr>
        <w:t>E. 4</w:t>
      </w:r>
    </w:p>
    <w:p>
      <w:r>
        <w:t>In definitiva, le decisioni impugnate vanno confermate e il gravame integral- mente respinto, nella misura della sua ammissibilità.</w:t>
      </w:r>
    </w:p>
    <w:p>
      <w:r>
        <w:rPr>
          <w:b/>
        </w:rPr>
        <w:t>E. 5</w:t>
      </w:r>
    </w:p>
    <w:p>
      <w:r>
        <w:t>Le spese seguono la soccombenza (v. art. 63 cpv. 1 PA).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fr. 10'000.–, a carico dei ricorrenti in solido; essa è coperta dall'anticipo delle spese del medesimo importo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